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68CB7" w14:textId="194B19B3" w:rsidR="000B4BA2" w:rsidRPr="0009380E" w:rsidRDefault="00900B80" w:rsidP="005B4E25">
      <w:pPr>
        <w:pStyle w:val="FormTitle"/>
      </w:pPr>
      <w:r>
        <w:t xml:space="preserve">TBIMS Project Director </w:t>
      </w:r>
      <w:r w:rsidR="000B4BA2" w:rsidRPr="0009380E">
        <w:t>Request for National Database Form</w:t>
      </w:r>
      <w:r w:rsidR="00C74F8A">
        <w:t xml:space="preserve"> and Data Use Agreement</w:t>
      </w:r>
    </w:p>
    <w:p w14:paraId="333E819C" w14:textId="28378208" w:rsidR="00DF2BF8" w:rsidRPr="00FF3BFC" w:rsidRDefault="00D40EFA" w:rsidP="005B4E25">
      <w:pPr>
        <w:pBdr>
          <w:top w:val="single" w:sz="4" w:space="1" w:color="auto"/>
          <w:left w:val="single" w:sz="4" w:space="4" w:color="auto"/>
          <w:bottom w:val="single" w:sz="4" w:space="1" w:color="auto"/>
          <w:right w:val="single" w:sz="4" w:space="4" w:color="auto"/>
        </w:pBdr>
        <w:rPr>
          <w:b/>
        </w:rPr>
      </w:pPr>
      <w:r w:rsidRPr="00E04844">
        <w:t>This procedure is for TBIMS Project Directors to request the TBIMS NDB for internal purposes only (e.g., exploring study/analysis ideas, program evaluation, et</w:t>
      </w:r>
      <w:r w:rsidR="00087E81">
        <w:t xml:space="preserve"> cetera</w:t>
      </w:r>
      <w:r w:rsidRPr="00E04844">
        <w:t xml:space="preserve">). For dissemination of any information contained in the multicenter TBIMS NDB beyond the Center TBIMS staff, refer to </w:t>
      </w:r>
      <w:r w:rsidRPr="00E87D45">
        <w:rPr>
          <w:i/>
          <w:iCs/>
        </w:rPr>
        <w:t xml:space="preserve">SOP </w:t>
      </w:r>
      <w:r w:rsidR="00FC25C6" w:rsidRPr="00E87D45">
        <w:rPr>
          <w:i/>
          <w:iCs/>
        </w:rPr>
        <w:t>DS001</w:t>
      </w:r>
      <w:r w:rsidRPr="00E87D45">
        <w:rPr>
          <w:i/>
          <w:iCs/>
        </w:rPr>
        <w:t xml:space="preserve"> </w:t>
      </w:r>
      <w:r w:rsidR="00E87D45">
        <w:rPr>
          <w:i/>
          <w:iCs/>
        </w:rPr>
        <w:t>–</w:t>
      </w:r>
      <w:r w:rsidRPr="00E87D45">
        <w:rPr>
          <w:i/>
          <w:iCs/>
        </w:rPr>
        <w:t xml:space="preserve"> Access to the TBIMS National Database</w:t>
      </w:r>
      <w:r w:rsidRPr="00E04844">
        <w:t xml:space="preserve">. </w:t>
      </w:r>
      <w:r w:rsidR="00DF2BF8" w:rsidRPr="00D40EFA">
        <w:t>The</w:t>
      </w:r>
      <w:r w:rsidR="00DF2BF8" w:rsidRPr="00FF3BFC">
        <w:t xml:space="preserve"> TBIMS National Database containing all centers’ data is updated on a quarterly basis on the following dates: </w:t>
      </w:r>
      <w:r w:rsidR="00447947">
        <w:t>January 15</w:t>
      </w:r>
      <w:r w:rsidR="00447947" w:rsidRPr="00447947">
        <w:rPr>
          <w:vertAlign w:val="superscript"/>
        </w:rPr>
        <w:t>th</w:t>
      </w:r>
      <w:r w:rsidR="00DF2BF8" w:rsidRPr="00FF3BFC">
        <w:t xml:space="preserve">, </w:t>
      </w:r>
      <w:r w:rsidR="004A3C0B">
        <w:t>March</w:t>
      </w:r>
      <w:r w:rsidR="00DF2BF8" w:rsidRPr="00FF3BFC">
        <w:t xml:space="preserve"> 3</w:t>
      </w:r>
      <w:r w:rsidR="004A3C0B">
        <w:t>1</w:t>
      </w:r>
      <w:r w:rsidR="004A3C0B" w:rsidRPr="001B4620">
        <w:rPr>
          <w:vertAlign w:val="superscript"/>
        </w:rPr>
        <w:t>st</w:t>
      </w:r>
      <w:r w:rsidR="00DF2BF8" w:rsidRPr="00FF3BFC">
        <w:t>,</w:t>
      </w:r>
      <w:r w:rsidR="00422AD3">
        <w:t xml:space="preserve"> </w:t>
      </w:r>
      <w:r w:rsidR="004A3C0B">
        <w:t>June 30</w:t>
      </w:r>
      <w:r w:rsidR="004A3C0B" w:rsidRPr="001B4620">
        <w:rPr>
          <w:vertAlign w:val="superscript"/>
        </w:rPr>
        <w:t>th</w:t>
      </w:r>
      <w:r w:rsidR="00DF2BF8" w:rsidRPr="00FF3BFC">
        <w:t xml:space="preserve">, </w:t>
      </w:r>
      <w:r w:rsidR="004A3C0B">
        <w:t>September 30</w:t>
      </w:r>
      <w:r w:rsidR="004A3C0B" w:rsidRPr="001B4620">
        <w:rPr>
          <w:vertAlign w:val="superscript"/>
        </w:rPr>
        <w:t>th</w:t>
      </w:r>
      <w:r w:rsidR="00DF2BF8" w:rsidRPr="00FF3BFC">
        <w:t>.</w:t>
      </w:r>
      <w:r w:rsidR="00422AD3">
        <w:t xml:space="preserve"> </w:t>
      </w:r>
      <w:r w:rsidR="00DF2BF8" w:rsidRPr="00FF3BFC">
        <w:t xml:space="preserve">The </w:t>
      </w:r>
      <w:r>
        <w:t xml:space="preserve">currently funded </w:t>
      </w:r>
      <w:r w:rsidR="00DF2BF8" w:rsidRPr="00FF3BFC">
        <w:t>TBIMS Project Directors are the only persons who may request a copy of the National Database</w:t>
      </w:r>
      <w:r>
        <w:t xml:space="preserve"> using this procedure and form</w:t>
      </w:r>
      <w:r w:rsidR="00DF2BF8" w:rsidRPr="00FF3BFC">
        <w:t>.</w:t>
      </w:r>
      <w:r w:rsidR="00422AD3">
        <w:t xml:space="preserve"> </w:t>
      </w:r>
      <w:r w:rsidR="00DF2BF8" w:rsidRPr="00FF3BFC">
        <w:t>Project Co-Directors may also request a copy if prior arrangements are made in writing between the Project Director and the NDSC.</w:t>
      </w:r>
      <w:r w:rsidR="00FF3BFC" w:rsidRPr="00FF3BFC">
        <w:t xml:space="preserve"> </w:t>
      </w:r>
      <w:r w:rsidR="00DF2BF8" w:rsidRPr="00FF3BFC">
        <w:t>The Project Director (or Co-Director) may not release the National Database to anyone other than those involved in his/her TBIMS project. The Project Director (or Co-Director) will assume responsibility for the</w:t>
      </w:r>
      <w:r>
        <w:t xml:space="preserve"> protection and</w:t>
      </w:r>
      <w:r w:rsidR="00DF2BF8" w:rsidRPr="00FF3BFC">
        <w:t xml:space="preserve"> release of the National Database to his/her TBIMS staff. In order to receive a copy of the National </w:t>
      </w:r>
      <w:r w:rsidR="00DF2BF8" w:rsidRPr="00D40EFA">
        <w:t>Database</w:t>
      </w:r>
      <w:r w:rsidRPr="00D40EFA">
        <w:t xml:space="preserve"> </w:t>
      </w:r>
      <w:r w:rsidRPr="00E04844">
        <w:t>using this procedure</w:t>
      </w:r>
      <w:r w:rsidR="00DF2BF8" w:rsidRPr="00D40EFA">
        <w:t xml:space="preserve">, </w:t>
      </w:r>
      <w:r>
        <w:t xml:space="preserve">this form </w:t>
      </w:r>
      <w:r w:rsidR="00FC25C6">
        <w:t>–</w:t>
      </w:r>
      <w:r>
        <w:t xml:space="preserve"> </w:t>
      </w:r>
      <w:r w:rsidR="00FC25C6">
        <w:t>DSF002</w:t>
      </w:r>
      <w:r w:rsidR="00DF2BF8" w:rsidRPr="00FF3BFC">
        <w:t xml:space="preserve"> – </w:t>
      </w:r>
      <w:r w:rsidR="009D51CF">
        <w:t xml:space="preserve">TBIMS Project Director </w:t>
      </w:r>
      <w:r w:rsidR="00DF2BF8" w:rsidRPr="00FF3BFC">
        <w:t xml:space="preserve">Request for the TBIMS National Database Form </w:t>
      </w:r>
      <w:r w:rsidR="00447947">
        <w:t xml:space="preserve">and Data Use Agreement </w:t>
      </w:r>
      <w:r w:rsidR="00DF2BF8" w:rsidRPr="00FF3BFC">
        <w:t xml:space="preserve">must be </w:t>
      </w:r>
      <w:r w:rsidR="00DF2BF8" w:rsidRPr="00D40EFA">
        <w:t>completed</w:t>
      </w:r>
      <w:r w:rsidR="00447947">
        <w:t xml:space="preserve"> and </w:t>
      </w:r>
      <w:r w:rsidRPr="00E04844">
        <w:t>signed by the TBIMS Project Director</w:t>
      </w:r>
      <w:r w:rsidR="00DF2BF8" w:rsidRPr="00D40EFA">
        <w:t xml:space="preserve"> and</w:t>
      </w:r>
      <w:r w:rsidR="00DF2BF8" w:rsidRPr="00FF3BFC">
        <w:t xml:space="preserve"> sent via email</w:t>
      </w:r>
      <w:r>
        <w:t xml:space="preserve"> </w:t>
      </w:r>
      <w:r w:rsidR="00DF2BF8" w:rsidRPr="00FF3BFC">
        <w:t>to the NDSC</w:t>
      </w:r>
      <w:r w:rsidR="007A780A">
        <w:t xml:space="preserve"> at</w:t>
      </w:r>
      <w:r w:rsidR="00B55CD1">
        <w:t xml:space="preserve"> </w:t>
      </w:r>
      <w:r w:rsidR="006300B1" w:rsidRPr="006300B1">
        <w:t>tbimsdata@craighospital.org</w:t>
      </w:r>
      <w:r w:rsidR="00DF2BF8" w:rsidRPr="00FF3BFC">
        <w:t>. The version of the National Database available for download is that which does not contain Protected Health Information (PHI).</w:t>
      </w:r>
      <w:r w:rsidR="00422AD3">
        <w:t xml:space="preserve"> </w:t>
      </w:r>
      <w:r w:rsidR="00DF2BF8" w:rsidRPr="00FF3BFC">
        <w:t>If a TBIMS wishes to receive a version of the National Database containi</w:t>
      </w:r>
      <w:r w:rsidR="00DF2BF8" w:rsidRPr="00E04844">
        <w:t xml:space="preserve">ng PHI, </w:t>
      </w:r>
      <w:r w:rsidR="00E04844" w:rsidRPr="00E04844">
        <w:t>defined as those variables in a limited dataset, those specific variables must be requested on th</w:t>
      </w:r>
      <w:r w:rsidR="00E04844">
        <w:t xml:space="preserve">is form - </w:t>
      </w:r>
      <w:r w:rsidR="00FC25C6">
        <w:t>DSF002</w:t>
      </w:r>
      <w:r w:rsidR="00FC25C6" w:rsidRPr="00FF3BFC">
        <w:t xml:space="preserve"> </w:t>
      </w:r>
      <w:r w:rsidR="009D51CF">
        <w:t>–</w:t>
      </w:r>
      <w:r w:rsidR="00E04844" w:rsidRPr="00E04844">
        <w:t xml:space="preserve"> TBIMS</w:t>
      </w:r>
      <w:r w:rsidR="009D51CF">
        <w:t xml:space="preserve"> Project Director Request for </w:t>
      </w:r>
      <w:r w:rsidR="00E04844" w:rsidRPr="00E04844">
        <w:t>National Database Form</w:t>
      </w:r>
      <w:r w:rsidR="00075C40">
        <w:t xml:space="preserve"> and Data Use Agreement</w:t>
      </w:r>
      <w:r w:rsidR="00E04844" w:rsidRPr="00E04844">
        <w:t>.</w:t>
      </w:r>
      <w:r w:rsidR="00DF2BF8" w:rsidRPr="00FF3BFC">
        <w:t xml:space="preserve"> The NDSC will track requests for the National Database.</w:t>
      </w:r>
      <w:r w:rsidR="00FF3BFC" w:rsidRPr="00FF3BFC">
        <w:t xml:space="preserve"> </w:t>
      </w:r>
      <w:r w:rsidR="00DF2BF8" w:rsidRPr="00FF3BFC">
        <w:t>The National Database will be posted in a secure directory in the members only section of the NDSC website and will require security authentication to the website in order to be downloaded.</w:t>
      </w:r>
    </w:p>
    <w:p w14:paraId="75616ED9" w14:textId="77777777" w:rsidR="00DF2BF8" w:rsidRPr="005B4E25" w:rsidRDefault="00DF2BF8" w:rsidP="005B4E25">
      <w:pPr>
        <w:rPr>
          <w:b/>
          <w:bCs/>
        </w:rPr>
      </w:pPr>
    </w:p>
    <w:p w14:paraId="35E67D6F" w14:textId="09FD4049" w:rsidR="00DF2BF8" w:rsidRPr="005B4E25" w:rsidRDefault="00DF2BF8" w:rsidP="005B4E25">
      <w:pPr>
        <w:tabs>
          <w:tab w:val="left" w:pos="8640"/>
        </w:tabs>
        <w:rPr>
          <w:b/>
          <w:bCs/>
        </w:rPr>
      </w:pPr>
      <w:r w:rsidRPr="005B4E25">
        <w:rPr>
          <w:b/>
          <w:bCs/>
        </w:rPr>
        <w:t xml:space="preserve">Name of </w:t>
      </w:r>
      <w:r w:rsidR="00422AD3" w:rsidRPr="005B4E25">
        <w:rPr>
          <w:b/>
          <w:bCs/>
        </w:rPr>
        <w:t>Requestor:</w:t>
      </w:r>
      <w:r w:rsidR="00DD2EDF" w:rsidRPr="005B4E25">
        <w:rPr>
          <w:b/>
          <w:bCs/>
        </w:rPr>
        <w:t xml:space="preserve"> </w:t>
      </w:r>
      <w:r w:rsidR="005B4E25" w:rsidRPr="005B4E25">
        <w:rPr>
          <w:u w:val="single"/>
        </w:rPr>
        <w:tab/>
      </w:r>
    </w:p>
    <w:p w14:paraId="6666D5E0" w14:textId="77777777" w:rsidR="00DF2BF8" w:rsidRPr="005B4E25" w:rsidRDefault="00DF2BF8" w:rsidP="005B4E25">
      <w:pPr>
        <w:rPr>
          <w:b/>
          <w:bCs/>
        </w:rPr>
      </w:pPr>
    </w:p>
    <w:p w14:paraId="1227E851" w14:textId="6B21E758" w:rsidR="00DF2BF8" w:rsidRPr="005B4E25" w:rsidRDefault="00DF2BF8" w:rsidP="005B4E25">
      <w:pPr>
        <w:tabs>
          <w:tab w:val="left" w:pos="8640"/>
        </w:tabs>
        <w:rPr>
          <w:b/>
          <w:bCs/>
        </w:rPr>
      </w:pPr>
      <w:r w:rsidRPr="005B4E25">
        <w:rPr>
          <w:b/>
          <w:bCs/>
        </w:rPr>
        <w:t xml:space="preserve">Name of TBI Model </w:t>
      </w:r>
      <w:r w:rsidR="00422AD3" w:rsidRPr="005B4E25">
        <w:rPr>
          <w:b/>
          <w:bCs/>
        </w:rPr>
        <w:t xml:space="preserve">System: </w:t>
      </w:r>
      <w:r w:rsidR="005B4E25" w:rsidRPr="005B4E25">
        <w:rPr>
          <w:u w:val="single"/>
        </w:rPr>
        <w:tab/>
      </w:r>
    </w:p>
    <w:p w14:paraId="20081B28" w14:textId="77777777" w:rsidR="00DF2BF8" w:rsidRPr="005B4E25" w:rsidRDefault="00DF2BF8" w:rsidP="005B4E25">
      <w:pPr>
        <w:rPr>
          <w:b/>
          <w:bCs/>
        </w:rPr>
      </w:pPr>
    </w:p>
    <w:p w14:paraId="72069C0E" w14:textId="4AEC06CD" w:rsidR="00DF2BF8" w:rsidRPr="005B4E25" w:rsidRDefault="00DF2BF8" w:rsidP="005B4E25">
      <w:pPr>
        <w:tabs>
          <w:tab w:val="left" w:pos="8640"/>
        </w:tabs>
        <w:rPr>
          <w:b/>
          <w:bCs/>
        </w:rPr>
      </w:pPr>
      <w:r w:rsidRPr="005B4E25">
        <w:rPr>
          <w:b/>
          <w:bCs/>
        </w:rPr>
        <w:t xml:space="preserve">Date of </w:t>
      </w:r>
      <w:r w:rsidR="00422AD3" w:rsidRPr="005B4E25">
        <w:rPr>
          <w:b/>
          <w:bCs/>
        </w:rPr>
        <w:t xml:space="preserve">Request: </w:t>
      </w:r>
      <w:r w:rsidR="005B4E25" w:rsidRPr="005B4E25">
        <w:rPr>
          <w:u w:val="single"/>
        </w:rPr>
        <w:tab/>
      </w:r>
    </w:p>
    <w:p w14:paraId="029DACB7" w14:textId="77777777" w:rsidR="00DF2BF8" w:rsidRPr="005B4E25" w:rsidRDefault="00DF2BF8" w:rsidP="005B4E25">
      <w:pPr>
        <w:rPr>
          <w:b/>
          <w:bCs/>
        </w:rPr>
      </w:pPr>
    </w:p>
    <w:p w14:paraId="75F7A40C" w14:textId="7F20F130" w:rsidR="00DF2BF8" w:rsidRPr="005B4E25" w:rsidRDefault="00DF2BF8" w:rsidP="005B4E25">
      <w:pPr>
        <w:tabs>
          <w:tab w:val="left" w:pos="8640"/>
        </w:tabs>
        <w:rPr>
          <w:b/>
          <w:bCs/>
        </w:rPr>
      </w:pPr>
      <w:r w:rsidRPr="005B4E25">
        <w:rPr>
          <w:b/>
          <w:bCs/>
        </w:rPr>
        <w:t xml:space="preserve">Date </w:t>
      </w:r>
      <w:r w:rsidR="00422AD3" w:rsidRPr="005B4E25">
        <w:rPr>
          <w:b/>
          <w:bCs/>
        </w:rPr>
        <w:t xml:space="preserve">Needed: </w:t>
      </w:r>
      <w:r w:rsidR="005B4E25" w:rsidRPr="005B4E25">
        <w:rPr>
          <w:u w:val="single"/>
        </w:rPr>
        <w:tab/>
      </w:r>
    </w:p>
    <w:p w14:paraId="385D49B6" w14:textId="34768122" w:rsidR="00DF2BF8" w:rsidRPr="005B4E25" w:rsidRDefault="00DF2BF8" w:rsidP="005B4E25">
      <w:pPr>
        <w:rPr>
          <w:b/>
          <w:bCs/>
        </w:rPr>
      </w:pPr>
    </w:p>
    <w:p w14:paraId="64C4ED7A" w14:textId="565E4561" w:rsidR="003160DB" w:rsidRPr="005B4E25" w:rsidRDefault="00916104" w:rsidP="005B4E25">
      <w:pPr>
        <w:rPr>
          <w:b/>
          <w:bCs/>
        </w:rPr>
      </w:pPr>
      <w:r w:rsidRPr="005B4E25">
        <w:rPr>
          <w:b/>
          <w:bCs/>
        </w:rPr>
        <w:t>Are you requesting any TBIMS NDB archived variables? If so, please list:</w:t>
      </w:r>
    </w:p>
    <w:p w14:paraId="67CC9EE5" w14:textId="1AE04C01" w:rsidR="00FC25C6" w:rsidRPr="00DD2EDF" w:rsidRDefault="00FC25C6" w:rsidP="005B4E25">
      <w:pPr>
        <w:tabs>
          <w:tab w:val="left" w:pos="8640"/>
        </w:tabs>
        <w:ind w:left="720"/>
      </w:pPr>
      <w:r w:rsidRPr="00DD2EDF">
        <w:rPr>
          <w:u w:val="single"/>
        </w:rPr>
        <w:t>__</w:t>
      </w:r>
      <w:r w:rsidRPr="00DD2EDF">
        <w:t xml:space="preserve"> Yes</w:t>
      </w:r>
      <w:r>
        <w:t xml:space="preserve">: </w:t>
      </w:r>
      <w:r w:rsidRPr="00FC25C6">
        <w:rPr>
          <w:u w:val="single"/>
        </w:rPr>
        <w:tab/>
      </w:r>
    </w:p>
    <w:p w14:paraId="2FF89B12" w14:textId="77777777" w:rsidR="00FC25C6" w:rsidRPr="00DD2EDF" w:rsidRDefault="00FC25C6" w:rsidP="005B4E25">
      <w:pPr>
        <w:tabs>
          <w:tab w:val="left" w:pos="8640"/>
        </w:tabs>
        <w:ind w:left="720"/>
      </w:pPr>
      <w:r w:rsidRPr="00DD2EDF">
        <w:rPr>
          <w:u w:val="single"/>
        </w:rPr>
        <w:t>__</w:t>
      </w:r>
      <w:r w:rsidRPr="00DD2EDF">
        <w:t xml:space="preserve"> No</w:t>
      </w:r>
    </w:p>
    <w:p w14:paraId="6BF3A3CF" w14:textId="77777777" w:rsidR="003160DB" w:rsidRPr="00DD2EDF" w:rsidRDefault="003160DB" w:rsidP="00916104">
      <w:pPr>
        <w:autoSpaceDE w:val="0"/>
        <w:autoSpaceDN w:val="0"/>
        <w:adjustRightInd w:val="0"/>
        <w:rPr>
          <w:b/>
          <w:bCs/>
        </w:rPr>
      </w:pPr>
    </w:p>
    <w:p w14:paraId="067762DF" w14:textId="4E5604BE" w:rsidR="00916104" w:rsidRDefault="003160DB" w:rsidP="001626BD">
      <w:pPr>
        <w:ind w:left="720" w:right="720"/>
        <w:rPr>
          <w:b/>
          <w:bCs/>
        </w:rPr>
      </w:pPr>
      <w:r w:rsidRPr="005B4E25">
        <w:rPr>
          <w:b/>
          <w:bCs/>
        </w:rPr>
        <w:lastRenderedPageBreak/>
        <w:t>[For a list of archived variables go to tbindsc.org</w:t>
      </w:r>
      <w:r w:rsidR="00DD2EDF" w:rsidRPr="005B4E25">
        <w:rPr>
          <w:b/>
          <w:bCs/>
        </w:rPr>
        <w:t xml:space="preserve"> and</w:t>
      </w:r>
      <w:r w:rsidRPr="005B4E25">
        <w:rPr>
          <w:b/>
          <w:bCs/>
        </w:rPr>
        <w:t xml:space="preserve"> click on </w:t>
      </w:r>
      <w:r w:rsidR="00DD2EDF" w:rsidRPr="005B4E25">
        <w:rPr>
          <w:b/>
          <w:bCs/>
        </w:rPr>
        <w:t xml:space="preserve">the </w:t>
      </w:r>
      <w:r w:rsidRPr="005B4E25">
        <w:rPr>
          <w:b/>
          <w:bCs/>
        </w:rPr>
        <w:t>Data Dictionary tab at left</w:t>
      </w:r>
      <w:r w:rsidR="00DD2EDF" w:rsidRPr="005B4E25">
        <w:rPr>
          <w:b/>
          <w:bCs/>
        </w:rPr>
        <w:t>;</w:t>
      </w:r>
      <w:r w:rsidRPr="005B4E25">
        <w:rPr>
          <w:b/>
          <w:bCs/>
        </w:rPr>
        <w:t xml:space="preserve"> </w:t>
      </w:r>
      <w:r w:rsidR="00DD2EDF" w:rsidRPr="005B4E25">
        <w:rPr>
          <w:b/>
          <w:bCs/>
        </w:rPr>
        <w:t xml:space="preserve">then </w:t>
      </w:r>
      <w:r w:rsidRPr="005B4E25">
        <w:rPr>
          <w:b/>
          <w:bCs/>
        </w:rPr>
        <w:t xml:space="preserve">click on </w:t>
      </w:r>
      <w:r w:rsidR="00DD2EDF" w:rsidRPr="005B4E25">
        <w:rPr>
          <w:b/>
          <w:bCs/>
        </w:rPr>
        <w:t xml:space="preserve">the </w:t>
      </w:r>
      <w:r w:rsidRPr="005B4E25">
        <w:rPr>
          <w:b/>
          <w:bCs/>
        </w:rPr>
        <w:t>Data Dictionary button, which brings up the Data Dictionary Explorer</w:t>
      </w:r>
      <w:r w:rsidR="00DD2EDF" w:rsidRPr="005B4E25">
        <w:rPr>
          <w:b/>
          <w:bCs/>
        </w:rPr>
        <w:t>.</w:t>
      </w:r>
      <w:r w:rsidRPr="005B4E25">
        <w:rPr>
          <w:b/>
          <w:bCs/>
        </w:rPr>
        <w:t xml:space="preserve"> </w:t>
      </w:r>
      <w:r w:rsidR="00DD2EDF" w:rsidRPr="005B4E25">
        <w:rPr>
          <w:b/>
          <w:bCs/>
        </w:rPr>
        <w:t>U</w:t>
      </w:r>
      <w:r w:rsidRPr="005B4E25">
        <w:rPr>
          <w:b/>
          <w:bCs/>
        </w:rPr>
        <w:t>nder the search function</w:t>
      </w:r>
      <w:r w:rsidR="00DD2EDF" w:rsidRPr="005B4E25">
        <w:rPr>
          <w:b/>
          <w:bCs/>
        </w:rPr>
        <w:t>,</w:t>
      </w:r>
      <w:r w:rsidRPr="005B4E25">
        <w:rPr>
          <w:b/>
          <w:bCs/>
        </w:rPr>
        <w:t xml:space="preserve"> click </w:t>
      </w:r>
      <w:r w:rsidR="00DD2EDF" w:rsidRPr="005B4E25">
        <w:rPr>
          <w:b/>
          <w:bCs/>
          <w:i/>
          <w:iCs/>
        </w:rPr>
        <w:t>Y</w:t>
      </w:r>
      <w:r w:rsidRPr="005B4E25">
        <w:rPr>
          <w:b/>
          <w:bCs/>
          <w:i/>
          <w:iCs/>
        </w:rPr>
        <w:t>es</w:t>
      </w:r>
      <w:r w:rsidRPr="005B4E25">
        <w:rPr>
          <w:b/>
          <w:bCs/>
        </w:rPr>
        <w:t xml:space="preserve"> for include ARCHIVED variables</w:t>
      </w:r>
      <w:r w:rsidR="00DD2EDF" w:rsidRPr="005B4E25">
        <w:rPr>
          <w:b/>
          <w:bCs/>
        </w:rPr>
        <w:t>; then</w:t>
      </w:r>
      <w:r w:rsidRPr="005B4E25">
        <w:rPr>
          <w:b/>
          <w:bCs/>
        </w:rPr>
        <w:t xml:space="preserve"> click the green search button</w:t>
      </w:r>
      <w:r w:rsidR="00DD2EDF" w:rsidRPr="005B4E25">
        <w:rPr>
          <w:b/>
          <w:bCs/>
        </w:rPr>
        <w:t>.</w:t>
      </w:r>
      <w:r w:rsidR="0058705B" w:rsidRPr="005B4E25">
        <w:rPr>
          <w:b/>
          <w:bCs/>
        </w:rPr>
        <w:t xml:space="preserve"> </w:t>
      </w:r>
      <w:r w:rsidR="00DD2EDF" w:rsidRPr="005B4E25">
        <w:rPr>
          <w:b/>
          <w:bCs/>
        </w:rPr>
        <w:t>U</w:t>
      </w:r>
      <w:r w:rsidR="0058705B" w:rsidRPr="005B4E25">
        <w:rPr>
          <w:b/>
          <w:bCs/>
        </w:rPr>
        <w:t>nder each domain, subdomain or variable</w:t>
      </w:r>
      <w:r w:rsidR="00DD2EDF" w:rsidRPr="005B4E25">
        <w:rPr>
          <w:b/>
          <w:bCs/>
        </w:rPr>
        <w:t>, it</w:t>
      </w:r>
      <w:r w:rsidR="0058705B" w:rsidRPr="005B4E25">
        <w:rPr>
          <w:b/>
          <w:bCs/>
        </w:rPr>
        <w:t xml:space="preserve"> will indicate if it has been archived.]</w:t>
      </w:r>
    </w:p>
    <w:p w14:paraId="5500D626" w14:textId="77777777" w:rsidR="005B4E25" w:rsidRPr="005B4E25" w:rsidRDefault="005B4E25" w:rsidP="005B4E25">
      <w:pPr>
        <w:rPr>
          <w:b/>
          <w:bCs/>
        </w:rPr>
      </w:pPr>
    </w:p>
    <w:p w14:paraId="3920D807" w14:textId="77777777" w:rsidR="00A17211" w:rsidRPr="005B4E25" w:rsidRDefault="00A17211" w:rsidP="005B4E25">
      <w:pPr>
        <w:rPr>
          <w:b/>
          <w:bCs/>
        </w:rPr>
      </w:pPr>
      <w:bookmarkStart w:id="0" w:name="_Hlk157087603"/>
      <w:r w:rsidRPr="005B4E25">
        <w:rPr>
          <w:b/>
          <w:bCs/>
        </w:rPr>
        <w:t>Do you intend to link the TBIMS NDB with any other datasets; for example, with any of the geographic identifier variables listed below?</w:t>
      </w:r>
    </w:p>
    <w:p w14:paraId="3C0C68CC" w14:textId="77777777" w:rsidR="00A17211" w:rsidRPr="00DD2EDF" w:rsidRDefault="00A17211" w:rsidP="0009380E">
      <w:pPr>
        <w:autoSpaceDE w:val="0"/>
        <w:autoSpaceDN w:val="0"/>
        <w:adjustRightInd w:val="0"/>
        <w:ind w:left="720"/>
      </w:pPr>
      <w:bookmarkStart w:id="1" w:name="_Hlk146122030"/>
      <w:r w:rsidRPr="00DD2EDF">
        <w:rPr>
          <w:u w:val="single"/>
        </w:rPr>
        <w:t>__</w:t>
      </w:r>
      <w:r w:rsidRPr="00DD2EDF">
        <w:t xml:space="preserve"> Yes</w:t>
      </w:r>
    </w:p>
    <w:p w14:paraId="431D354C" w14:textId="77777777" w:rsidR="00A17211" w:rsidRPr="00DD2EDF" w:rsidRDefault="00A17211" w:rsidP="0009380E">
      <w:pPr>
        <w:autoSpaceDE w:val="0"/>
        <w:autoSpaceDN w:val="0"/>
        <w:adjustRightInd w:val="0"/>
        <w:ind w:left="720"/>
      </w:pPr>
      <w:r w:rsidRPr="00DD2EDF">
        <w:rPr>
          <w:u w:val="single"/>
        </w:rPr>
        <w:t>__</w:t>
      </w:r>
      <w:r w:rsidRPr="00DD2EDF">
        <w:t xml:space="preserve"> No</w:t>
      </w:r>
    </w:p>
    <w:bookmarkEnd w:id="1"/>
    <w:bookmarkEnd w:id="0"/>
    <w:p w14:paraId="5292809F" w14:textId="77777777" w:rsidR="00A17211" w:rsidRPr="00A17211" w:rsidRDefault="00A17211" w:rsidP="005B4E25"/>
    <w:p w14:paraId="595D2FB3" w14:textId="3FA465D2" w:rsidR="00A17211" w:rsidRPr="005B4E25" w:rsidRDefault="00A17211" w:rsidP="005B4E25">
      <w:pPr>
        <w:rPr>
          <w:b/>
          <w:bCs/>
        </w:rPr>
      </w:pPr>
      <w:r w:rsidRPr="005B4E25">
        <w:rPr>
          <w:b/>
          <w:bCs/>
        </w:rPr>
        <w:t>If so, please describe the data to be linked to the TBIMS National Database and the linking procedures/techniques to be used:</w:t>
      </w:r>
    </w:p>
    <w:p w14:paraId="404DFBBA" w14:textId="77777777" w:rsidR="00585465" w:rsidRDefault="00585465" w:rsidP="005B4E25">
      <w:bookmarkStart w:id="2" w:name="_Hlk157087662"/>
    </w:p>
    <w:p w14:paraId="3067295C" w14:textId="31EA50E4" w:rsidR="00A17211" w:rsidRPr="005B4E25" w:rsidRDefault="00A17211" w:rsidP="005B4E25">
      <w:pPr>
        <w:rPr>
          <w:b/>
          <w:bCs/>
        </w:rPr>
      </w:pPr>
      <w:bookmarkStart w:id="3" w:name="_Hlk157087655"/>
      <w:bookmarkEnd w:id="2"/>
      <w:r w:rsidRPr="005B4E25">
        <w:rPr>
          <w:b/>
          <w:bCs/>
        </w:rPr>
        <w:t>Do you require any geographic identifier or date variables in the limited dataset? If so, please check those required and include justification of why variable is needed for the purposes of your study:</w:t>
      </w:r>
    </w:p>
    <w:p w14:paraId="00AA8C03" w14:textId="77777777" w:rsidR="00A17211" w:rsidRPr="00B22C58" w:rsidRDefault="00A17211" w:rsidP="00A17211">
      <w:pPr>
        <w:ind w:left="720"/>
      </w:pPr>
      <w:r w:rsidRPr="00B22C58">
        <w:t>__ StateCode</w:t>
      </w:r>
    </w:p>
    <w:p w14:paraId="29C9FD8C" w14:textId="77777777" w:rsidR="00A17211" w:rsidRPr="00B22C58" w:rsidRDefault="00A17211" w:rsidP="00A17211">
      <w:pPr>
        <w:ind w:left="720"/>
      </w:pPr>
      <w:r w:rsidRPr="00B22C58">
        <w:t>__ CountyCode</w:t>
      </w:r>
    </w:p>
    <w:p w14:paraId="4510AF03" w14:textId="77777777" w:rsidR="00A17211" w:rsidRPr="00B22C58" w:rsidRDefault="00A17211" w:rsidP="00A17211">
      <w:pPr>
        <w:ind w:left="720"/>
      </w:pPr>
      <w:r w:rsidRPr="00B22C58">
        <w:t>__ CensusTract</w:t>
      </w:r>
    </w:p>
    <w:p w14:paraId="2C16F28D" w14:textId="77777777" w:rsidR="00A17211" w:rsidRPr="00B22C58" w:rsidRDefault="00A17211" w:rsidP="00A17211">
      <w:pPr>
        <w:ind w:left="720"/>
      </w:pPr>
      <w:r w:rsidRPr="00B22C58">
        <w:t>__ CensusBlock</w:t>
      </w:r>
    </w:p>
    <w:p w14:paraId="0763CEF6" w14:textId="77777777" w:rsidR="00A17211" w:rsidRPr="00B22C58" w:rsidRDefault="00A17211" w:rsidP="00A17211">
      <w:pPr>
        <w:ind w:left="720"/>
      </w:pPr>
      <w:r w:rsidRPr="00B22C58">
        <w:t>__ Zip Code</w:t>
      </w:r>
    </w:p>
    <w:p w14:paraId="1B076EA3" w14:textId="77777777" w:rsidR="00A17211" w:rsidRPr="00B22C58" w:rsidRDefault="00A17211" w:rsidP="00A17211">
      <w:pPr>
        <w:ind w:left="1440"/>
      </w:pPr>
      <w:r w:rsidRPr="00B22C58">
        <w:t>__ ZipInj (zip code at injury)</w:t>
      </w:r>
    </w:p>
    <w:p w14:paraId="072C30B2" w14:textId="77777777" w:rsidR="00A17211" w:rsidRPr="00B22C58" w:rsidRDefault="00A17211" w:rsidP="00A17211">
      <w:pPr>
        <w:ind w:left="1440"/>
      </w:pPr>
      <w:r w:rsidRPr="00B22C58">
        <w:t>__ ZipDis (zip code at discharge)</w:t>
      </w:r>
    </w:p>
    <w:p w14:paraId="4554C919" w14:textId="77777777" w:rsidR="00A17211" w:rsidRPr="00B22C58" w:rsidRDefault="00A17211" w:rsidP="00A17211">
      <w:pPr>
        <w:ind w:left="1440"/>
      </w:pPr>
      <w:r w:rsidRPr="00B22C58">
        <w:t>__ ZipF (zip code at follow-up)</w:t>
      </w:r>
    </w:p>
    <w:p w14:paraId="60B392E8" w14:textId="77777777" w:rsidR="00A17211" w:rsidRPr="00B22C58" w:rsidRDefault="00A17211" w:rsidP="00A17211">
      <w:pPr>
        <w:ind w:left="720"/>
      </w:pPr>
      <w:r w:rsidRPr="00B22C58">
        <w:t>__ The full date of any date variable (e.g., date of injury, date of birth)</w:t>
      </w:r>
    </w:p>
    <w:p w14:paraId="6417AB6A" w14:textId="77777777" w:rsidR="00A17211" w:rsidRPr="00B22C58" w:rsidRDefault="00A17211" w:rsidP="003A5944">
      <w:pPr>
        <w:tabs>
          <w:tab w:val="left" w:pos="8640"/>
        </w:tabs>
        <w:ind w:left="1440"/>
        <w:rPr>
          <w:b/>
        </w:rPr>
      </w:pPr>
      <w:r w:rsidRPr="00B22C58">
        <w:t xml:space="preserve">Please indicate which dates: </w:t>
      </w:r>
      <w:r w:rsidRPr="00B22C58">
        <w:rPr>
          <w:u w:val="single"/>
        </w:rPr>
        <w:tab/>
      </w:r>
    </w:p>
    <w:bookmarkEnd w:id="3"/>
    <w:p w14:paraId="7B17F93D" w14:textId="77777777" w:rsidR="00A17211" w:rsidRPr="00B22C58" w:rsidRDefault="00A17211" w:rsidP="003A5944"/>
    <w:p w14:paraId="61C1A367" w14:textId="77777777" w:rsidR="00A17211" w:rsidRPr="003A5944" w:rsidRDefault="00A17211" w:rsidP="003A5944">
      <w:pPr>
        <w:rPr>
          <w:b/>
          <w:bCs/>
        </w:rPr>
      </w:pPr>
      <w:bookmarkStart w:id="4" w:name="_Hlk157087673"/>
      <w:r w:rsidRPr="003A5944">
        <w:rPr>
          <w:b/>
          <w:bCs/>
        </w:rPr>
        <w:t>Do you require the Socioeconomic Status variables associated with the CensusTract variable that are separate from Form 1 and Form 2?</w:t>
      </w:r>
    </w:p>
    <w:p w14:paraId="5CA68533" w14:textId="77777777" w:rsidR="00A17211" w:rsidRPr="00DD2EDF" w:rsidRDefault="00A17211" w:rsidP="003A5944">
      <w:pPr>
        <w:ind w:left="720"/>
      </w:pPr>
      <w:r w:rsidRPr="00DD2EDF">
        <w:t>__ Yes</w:t>
      </w:r>
    </w:p>
    <w:p w14:paraId="7B50ED1C" w14:textId="77777777" w:rsidR="00A17211" w:rsidRPr="00DD2EDF" w:rsidRDefault="00A17211" w:rsidP="003A5944">
      <w:pPr>
        <w:ind w:left="720"/>
      </w:pPr>
      <w:r w:rsidRPr="00DD2EDF">
        <w:t>__ No</w:t>
      </w:r>
    </w:p>
    <w:bookmarkEnd w:id="4"/>
    <w:p w14:paraId="535EA32F" w14:textId="77777777" w:rsidR="00585465" w:rsidRDefault="00585465" w:rsidP="003A5944"/>
    <w:p w14:paraId="5E71E0CB" w14:textId="04352689" w:rsidR="00FC25C6" w:rsidRPr="003A5944" w:rsidRDefault="00DF2BF8" w:rsidP="00474FAD">
      <w:pPr>
        <w:keepNext/>
        <w:tabs>
          <w:tab w:val="left" w:pos="3240"/>
        </w:tabs>
        <w:rPr>
          <w:b/>
          <w:bCs/>
        </w:rPr>
      </w:pPr>
      <w:r w:rsidRPr="003A5944">
        <w:rPr>
          <w:b/>
          <w:bCs/>
        </w:rPr>
        <w:lastRenderedPageBreak/>
        <w:t>Format for Data (check one):</w:t>
      </w:r>
      <w:r w:rsidR="00FC25C6" w:rsidRPr="003A5944">
        <w:rPr>
          <w:b/>
          <w:bCs/>
        </w:rPr>
        <w:tab/>
      </w:r>
      <w:r w:rsidR="00E54BA4" w:rsidRPr="003A5944">
        <w:rPr>
          <w:b/>
          <w:bCs/>
          <w:sz w:val="40"/>
          <w:szCs w:val="40"/>
        </w:rPr>
        <w:t>□</w:t>
      </w:r>
      <w:r w:rsidRPr="003A5944">
        <w:rPr>
          <w:b/>
          <w:bCs/>
        </w:rPr>
        <w:t>w/o PHI</w:t>
      </w:r>
      <w:r w:rsidR="004B7C65" w:rsidRPr="003A5944">
        <w:rPr>
          <w:b/>
          <w:bCs/>
        </w:rPr>
        <w:t xml:space="preserve"> (de-identified)</w:t>
      </w:r>
    </w:p>
    <w:p w14:paraId="6DE1A481" w14:textId="51C9C641" w:rsidR="00DF2BF8" w:rsidRPr="003A5944" w:rsidRDefault="00FC25C6" w:rsidP="003A5944">
      <w:pPr>
        <w:tabs>
          <w:tab w:val="left" w:pos="3240"/>
        </w:tabs>
        <w:rPr>
          <w:b/>
          <w:bCs/>
        </w:rPr>
      </w:pPr>
      <w:r w:rsidRPr="003A5944">
        <w:rPr>
          <w:b/>
          <w:bCs/>
        </w:rPr>
        <w:tab/>
      </w:r>
      <w:r w:rsidR="00E54BA4" w:rsidRPr="003A5944">
        <w:rPr>
          <w:b/>
          <w:bCs/>
          <w:sz w:val="40"/>
          <w:szCs w:val="40"/>
        </w:rPr>
        <w:t>□</w:t>
      </w:r>
      <w:r w:rsidR="00DF2BF8" w:rsidRPr="003A5944">
        <w:rPr>
          <w:b/>
          <w:bCs/>
        </w:rPr>
        <w:t>w/ PHI</w:t>
      </w:r>
      <w:r w:rsidR="004B7C65" w:rsidRPr="003A5944">
        <w:rPr>
          <w:b/>
          <w:bCs/>
        </w:rPr>
        <w:t xml:space="preserve"> (limited dataset as above)</w:t>
      </w:r>
    </w:p>
    <w:p w14:paraId="78EC76E4" w14:textId="23E37D6C" w:rsidR="00DF2BF8" w:rsidRPr="003A5944" w:rsidRDefault="00E54BA4" w:rsidP="003A5944">
      <w:pPr>
        <w:tabs>
          <w:tab w:val="left" w:pos="3240"/>
        </w:tabs>
        <w:rPr>
          <w:b/>
          <w:bCs/>
          <w:sz w:val="28"/>
        </w:rPr>
      </w:pPr>
      <w:r w:rsidRPr="003A5944">
        <w:rPr>
          <w:b/>
          <w:bCs/>
        </w:rPr>
        <w:tab/>
      </w:r>
      <w:r w:rsidR="00DF2BF8" w:rsidRPr="003A5944">
        <w:rPr>
          <w:b/>
          <w:bCs/>
        </w:rPr>
        <w:t>(check one):</w:t>
      </w:r>
      <w:r w:rsidR="00422AD3" w:rsidRPr="003A5944">
        <w:rPr>
          <w:b/>
          <w:bCs/>
        </w:rPr>
        <w:t xml:space="preserve"> </w:t>
      </w:r>
      <w:r w:rsidRPr="003A5944">
        <w:rPr>
          <w:b/>
          <w:bCs/>
          <w:sz w:val="40"/>
          <w:szCs w:val="40"/>
        </w:rPr>
        <w:t>□</w:t>
      </w:r>
      <w:proofErr w:type="gramStart"/>
      <w:r w:rsidR="00DF2BF8" w:rsidRPr="003A5944">
        <w:rPr>
          <w:b/>
          <w:bCs/>
        </w:rPr>
        <w:t>SPSS</w:t>
      </w:r>
      <w:r w:rsidR="00474FAD">
        <w:rPr>
          <w:b/>
          <w:bCs/>
        </w:rPr>
        <w:t xml:space="preserve">  </w:t>
      </w:r>
      <w:r w:rsidRPr="003A5944">
        <w:rPr>
          <w:b/>
          <w:bCs/>
          <w:sz w:val="40"/>
          <w:szCs w:val="40"/>
        </w:rPr>
        <w:t>□</w:t>
      </w:r>
      <w:proofErr w:type="gramEnd"/>
      <w:r w:rsidR="004B7C65" w:rsidRPr="003A5944">
        <w:rPr>
          <w:b/>
          <w:bCs/>
        </w:rPr>
        <w:t>SAS</w:t>
      </w:r>
      <w:r w:rsidR="00474FAD">
        <w:rPr>
          <w:b/>
          <w:bCs/>
        </w:rPr>
        <w:t xml:space="preserve">  </w:t>
      </w:r>
      <w:r w:rsidR="004B7C65" w:rsidRPr="003A5944">
        <w:rPr>
          <w:b/>
          <w:bCs/>
          <w:sz w:val="40"/>
          <w:szCs w:val="40"/>
        </w:rPr>
        <w:t>□</w:t>
      </w:r>
      <w:r w:rsidR="004B7C65" w:rsidRPr="003A5944">
        <w:rPr>
          <w:b/>
          <w:bCs/>
        </w:rPr>
        <w:t>CSV</w:t>
      </w:r>
    </w:p>
    <w:p w14:paraId="2299FB2C" w14:textId="77777777" w:rsidR="00DF2BF8" w:rsidRPr="003A5944" w:rsidRDefault="00DF2BF8" w:rsidP="003A5944">
      <w:pPr>
        <w:rPr>
          <w:b/>
          <w:bCs/>
        </w:rPr>
      </w:pPr>
    </w:p>
    <w:p w14:paraId="23085855" w14:textId="77777777" w:rsidR="004050AC" w:rsidRPr="003A5944" w:rsidRDefault="004050AC" w:rsidP="003A5944">
      <w:pPr>
        <w:rPr>
          <w:b/>
          <w:bCs/>
          <w:sz w:val="22"/>
        </w:rPr>
      </w:pPr>
    </w:p>
    <w:p w14:paraId="263C8707" w14:textId="7AA93D19" w:rsidR="00DF2BF8" w:rsidRPr="003A5944" w:rsidRDefault="00DF2BF8" w:rsidP="003A5944">
      <w:pPr>
        <w:tabs>
          <w:tab w:val="left" w:pos="1620"/>
        </w:tabs>
        <w:rPr>
          <w:b/>
          <w:bCs/>
          <w:sz w:val="22"/>
        </w:rPr>
      </w:pPr>
      <w:r w:rsidRPr="003A5944">
        <w:rPr>
          <w:b/>
          <w:bCs/>
          <w:sz w:val="22"/>
        </w:rPr>
        <w:t xml:space="preserve">Please </w:t>
      </w:r>
      <w:r w:rsidR="00D40EFA" w:rsidRPr="003A5944">
        <w:rPr>
          <w:b/>
          <w:bCs/>
          <w:sz w:val="22"/>
        </w:rPr>
        <w:t>email</w:t>
      </w:r>
      <w:r w:rsidRPr="003A5944">
        <w:rPr>
          <w:b/>
          <w:bCs/>
          <w:sz w:val="22"/>
        </w:rPr>
        <w:t xml:space="preserve"> to:</w:t>
      </w:r>
      <w:r w:rsidR="003A5944">
        <w:rPr>
          <w:b/>
          <w:bCs/>
          <w:sz w:val="22"/>
        </w:rPr>
        <w:tab/>
      </w:r>
      <w:r w:rsidRPr="003A5944">
        <w:rPr>
          <w:b/>
          <w:bCs/>
          <w:sz w:val="22"/>
        </w:rPr>
        <w:t>TBI Model Systems National Data and Statistical Center</w:t>
      </w:r>
    </w:p>
    <w:p w14:paraId="32A82172" w14:textId="34CC66CD" w:rsidR="005C7C2C" w:rsidRPr="003A5944" w:rsidRDefault="003D2D9B" w:rsidP="003A5944">
      <w:pPr>
        <w:tabs>
          <w:tab w:val="left" w:pos="1620"/>
        </w:tabs>
        <w:rPr>
          <w:b/>
          <w:bCs/>
          <w:sz w:val="22"/>
          <w:szCs w:val="22"/>
        </w:rPr>
      </w:pPr>
      <w:r w:rsidRPr="003A5944">
        <w:rPr>
          <w:b/>
          <w:bCs/>
          <w:sz w:val="22"/>
        </w:rPr>
        <w:tab/>
      </w:r>
      <w:r w:rsidR="00DF2BF8" w:rsidRPr="003A5944">
        <w:rPr>
          <w:b/>
          <w:bCs/>
          <w:sz w:val="22"/>
        </w:rPr>
        <w:t xml:space="preserve">email: </w:t>
      </w:r>
      <w:hyperlink r:id="rId7" w:history="1">
        <w:r w:rsidR="00A708E1" w:rsidRPr="003A5944">
          <w:rPr>
            <w:rStyle w:val="Hyperlink"/>
            <w:b/>
            <w:bCs/>
            <w:sz w:val="22"/>
            <w:szCs w:val="22"/>
          </w:rPr>
          <w:t>tbimsdata@craighospital.org</w:t>
        </w:r>
      </w:hyperlink>
    </w:p>
    <w:p w14:paraId="4D7FCBD9" w14:textId="77777777" w:rsidR="00DD2EDF" w:rsidRDefault="00DD2EDF">
      <w:pPr>
        <w:rPr>
          <w:b/>
          <w:bCs/>
          <w:kern w:val="32"/>
          <w:sz w:val="32"/>
          <w:szCs w:val="32"/>
        </w:rPr>
      </w:pPr>
      <w:r>
        <w:br w:type="page"/>
      </w:r>
    </w:p>
    <w:p w14:paraId="3C3E0193" w14:textId="48CBCCE2" w:rsidR="00572FC0" w:rsidRDefault="00572FC0" w:rsidP="00415513">
      <w:pPr>
        <w:pStyle w:val="FormTitle"/>
      </w:pPr>
      <w:r>
        <w:lastRenderedPageBreak/>
        <w:t xml:space="preserve">TBIMS </w:t>
      </w:r>
      <w:r w:rsidR="00D414FE">
        <w:t xml:space="preserve">Project Director </w:t>
      </w:r>
      <w:r>
        <w:t>Data Use Agreement</w:t>
      </w:r>
    </w:p>
    <w:p w14:paraId="10C34E1F" w14:textId="20908BEF" w:rsidR="00CB1B21" w:rsidRPr="0094183D" w:rsidRDefault="00CB1B21" w:rsidP="00CB1B21">
      <w:r w:rsidRPr="0094183D">
        <w:t>This Data Use Agreement (the “Agreement”) is effective as of</w:t>
      </w:r>
      <w:r>
        <w:t xml:space="preserve"> [</w:t>
      </w:r>
      <w:r w:rsidRPr="00D44240">
        <w:rPr>
          <w:highlight w:val="yellow"/>
        </w:rPr>
        <w:t>month, day, year</w:t>
      </w:r>
      <w:r>
        <w:t>]</w:t>
      </w:r>
      <w:r w:rsidRPr="0094183D">
        <w:t xml:space="preserve"> (the “Agreement Effective Date”) </w:t>
      </w:r>
      <w:r>
        <w:t>until [</w:t>
      </w:r>
      <w:r w:rsidRPr="00D44240">
        <w:rPr>
          <w:highlight w:val="yellow"/>
        </w:rPr>
        <w:t>month, day, year</w:t>
      </w:r>
      <w:r>
        <w:t xml:space="preserve">] (the “Agreement Termination Date”, which will be three (3) years from data release) </w:t>
      </w:r>
      <w:r w:rsidRPr="0094183D">
        <w:t>by and between</w:t>
      </w:r>
      <w:r>
        <w:t xml:space="preserve"> the Traumatic Brain Injury Model Systems National Data and Statistical Center at </w:t>
      </w:r>
      <w:r>
        <w:rPr>
          <w:b/>
        </w:rPr>
        <w:t xml:space="preserve">Craig Hospital </w:t>
      </w:r>
      <w:r w:rsidRPr="0094183D">
        <w:t xml:space="preserve">(“Covered Entity”) and </w:t>
      </w:r>
      <w:r>
        <w:rPr>
          <w:b/>
        </w:rPr>
        <w:t>[</w:t>
      </w:r>
      <w:r w:rsidRPr="00D8532E">
        <w:rPr>
          <w:b/>
          <w:highlight w:val="yellow"/>
        </w:rPr>
        <w:t>name of TBI Model System</w:t>
      </w:r>
      <w:r>
        <w:rPr>
          <w:b/>
        </w:rPr>
        <w:t>]</w:t>
      </w:r>
      <w:r w:rsidRPr="006E2855">
        <w:rPr>
          <w:b/>
        </w:rPr>
        <w:t xml:space="preserve"> </w:t>
      </w:r>
      <w:r w:rsidRPr="0094183D">
        <w:t>(“Data User”).</w:t>
      </w:r>
    </w:p>
    <w:p w14:paraId="12AD5538" w14:textId="061A6DF4" w:rsidR="00CB1B21" w:rsidRDefault="00CB1B21" w:rsidP="00415513">
      <w:r>
        <w:t>In</w:t>
      </w:r>
      <w:r w:rsidRPr="00282B37">
        <w:t xml:space="preserve"> 1987, the US Department of Education, National Institute on Disability and Rehabilitation Research (NIDRR), funded the Traumatic Brain Injury Model Systems (TBIMS) Program. </w:t>
      </w:r>
      <w:r>
        <w:t xml:space="preserve">The program is currently funded through the Department of Health and Human Services, National Institute of Disability, Independent Living and Rehabilitation Research (NIDILRR – formerly NIDRR). </w:t>
      </w:r>
      <w:r w:rsidRPr="00282B37">
        <w:t xml:space="preserve">One of the major components of the TBIMS program is a standardized National Database (NDB) for innovative </w:t>
      </w:r>
      <w:r>
        <w:t xml:space="preserve">collection, processing, storage and </w:t>
      </w:r>
      <w:r w:rsidRPr="00282B37">
        <w:t xml:space="preserve">analyses of </w:t>
      </w:r>
      <w:r>
        <w:t>data relevant to traumatic brain injury (</w:t>
      </w:r>
      <w:r w:rsidRPr="00282B37">
        <w:t>TBI</w:t>
      </w:r>
      <w:r>
        <w:t>)</w:t>
      </w:r>
      <w:r w:rsidRPr="00282B37">
        <w:t xml:space="preserve"> treatment and outcomes. The TBIMS NDB contains information on cases treated within any TBIMS center funded since 1987, which are located around the United States. </w:t>
      </w:r>
      <w:r w:rsidR="00C17F66" w:rsidRPr="00DD2EDF">
        <w:t>Over the years, variables have been added and deleted from the TBIMS NDB. When a variable is deleted, the data collected for this variable is archived and is available by request.</w:t>
      </w:r>
    </w:p>
    <w:p w14:paraId="7A23881F" w14:textId="69B84BD1" w:rsidR="00CB1B21" w:rsidRDefault="00CB1B21" w:rsidP="00415513">
      <w:r w:rsidRPr="00282B37">
        <w:t xml:space="preserve">The TBIMS National Data and Statistical Center (TBINDSC) located at Craig Hospital in Englewood, Colorado, is a central resource for researchers and data collectors within the TBIMS program. The primary purpose of the TBINDSC is to advance rehabilitation by increasing the rigor and efficiency of scientific efforts to longitudinally assess the experience of individuals with TBI. The TBINDSC provides technical assistance, training, and methodological consultation to </w:t>
      </w:r>
      <w:r>
        <w:t>the</w:t>
      </w:r>
      <w:r w:rsidRPr="00282B37">
        <w:t xml:space="preserve"> TBIMS </w:t>
      </w:r>
      <w:r>
        <w:t>C</w:t>
      </w:r>
      <w:r w:rsidRPr="00282B37">
        <w:t xml:space="preserve">enters as they collect and analyze longitudinal data from people with TBI in their communities, and as they conduct research </w:t>
      </w:r>
      <w:r>
        <w:t>on</w:t>
      </w:r>
      <w:r w:rsidRPr="00282B37">
        <w:t xml:space="preserve"> TBI rehabilitation interventions. The TBINDSC (also funded by NID</w:t>
      </w:r>
      <w:r>
        <w:t>IL</w:t>
      </w:r>
      <w:r w:rsidRPr="00282B37">
        <w:t xml:space="preserve">RR) houses and manages the TBIMS NDB. </w:t>
      </w:r>
      <w:r w:rsidRPr="00400700">
        <w:t>This data use agreement is used to allow release of the TBIMS NDB from the TBINDSC to a currently funded TBIMS Center</w:t>
      </w:r>
      <w:r w:rsidR="0001749A">
        <w:t xml:space="preserve"> Project Director</w:t>
      </w:r>
      <w:r w:rsidRPr="00400700">
        <w:t>.</w:t>
      </w:r>
    </w:p>
    <w:p w14:paraId="402A1508" w14:textId="77777777" w:rsidR="00CB1B21" w:rsidRDefault="00CB1B21" w:rsidP="00CB1B21">
      <w:pPr>
        <w:jc w:val="center"/>
      </w:pPr>
    </w:p>
    <w:p w14:paraId="2975B2D8" w14:textId="77777777" w:rsidR="00CB1B21" w:rsidRPr="007E61C5" w:rsidRDefault="00CB1B21" w:rsidP="00415513">
      <w:pPr>
        <w:pStyle w:val="Heading3"/>
        <w:jc w:val="center"/>
      </w:pPr>
      <w:r w:rsidRPr="00415513">
        <w:t>RECITALS</w:t>
      </w:r>
    </w:p>
    <w:p w14:paraId="6BB51B67" w14:textId="6F2E9910" w:rsidR="00CB1B21" w:rsidRPr="00523AFB" w:rsidRDefault="00CB1B21" w:rsidP="00415513">
      <w:pPr>
        <w:rPr>
          <w:b/>
          <w:bCs/>
        </w:rPr>
      </w:pPr>
      <w:r w:rsidRPr="0094183D">
        <w:tab/>
      </w:r>
      <w:r w:rsidRPr="00D0736F">
        <w:rPr>
          <w:b/>
        </w:rPr>
        <w:t>WHEREAS,</w:t>
      </w:r>
      <w:r w:rsidRPr="00523AFB">
        <w:rPr>
          <w:b/>
          <w:bCs/>
        </w:rPr>
        <w:t xml:space="preserve"> </w:t>
      </w:r>
      <w:r w:rsidRPr="00415513">
        <w:t xml:space="preserve">the TBIMS National Data and Statistical Center as Covered Entity possesses </w:t>
      </w:r>
      <w:r w:rsidRPr="00415513">
        <w:rPr>
          <w:i/>
        </w:rPr>
        <w:t>Individually Identifiable Health Information</w:t>
      </w:r>
      <w:r w:rsidRPr="00415513">
        <w:t xml:space="preserve"> that is protected under the </w:t>
      </w:r>
      <w:r w:rsidRPr="00415513">
        <w:rPr>
          <w:rStyle w:val="Strong"/>
          <w:b w:val="0"/>
          <w:bCs w:val="0"/>
          <w:shd w:val="clear" w:color="auto" w:fill="FFFFFF"/>
        </w:rPr>
        <w:t>Health Insurance Portability</w:t>
      </w:r>
      <w:r w:rsidR="00415513">
        <w:rPr>
          <w:shd w:val="clear" w:color="auto" w:fill="FFFFFF"/>
        </w:rPr>
        <w:t xml:space="preserve"> </w:t>
      </w:r>
      <w:r w:rsidRPr="00415513">
        <w:rPr>
          <w:shd w:val="clear" w:color="auto" w:fill="FFFFFF"/>
        </w:rPr>
        <w:t>and Accountability Act of 1996</w:t>
      </w:r>
      <w:r w:rsidR="00415513">
        <w:rPr>
          <w:shd w:val="clear" w:color="auto" w:fill="FFFFFF"/>
        </w:rPr>
        <w:t xml:space="preserve"> </w:t>
      </w:r>
      <w:r w:rsidRPr="00415513">
        <w:rPr>
          <w:shd w:val="clear" w:color="auto" w:fill="FFFFFF"/>
        </w:rPr>
        <w:t>(</w:t>
      </w:r>
      <w:r w:rsidRPr="00415513">
        <w:t>HIPAA) (as hereinafter defined) and the HIPAA Regulations (as hereinafter defined), and is permitted to use or disclose such information only in accordance with HIPAA and HIPAA Regulations;</w:t>
      </w:r>
    </w:p>
    <w:p w14:paraId="146835BA" w14:textId="77777777" w:rsidR="00CB1B21" w:rsidRPr="0094183D" w:rsidRDefault="00CB1B21" w:rsidP="00415513">
      <w:r w:rsidRPr="0094183D">
        <w:rPr>
          <w:b/>
          <w:bCs/>
        </w:rPr>
        <w:tab/>
        <w:t xml:space="preserve">WHEREAS, </w:t>
      </w:r>
      <w:r w:rsidRPr="0094183D">
        <w:t>Data User performs certain Activities (as hereinafter defined);</w:t>
      </w:r>
    </w:p>
    <w:p w14:paraId="7F3A3A66" w14:textId="77777777" w:rsidR="00CB1B21" w:rsidRPr="00C1542D" w:rsidRDefault="00CB1B21" w:rsidP="00415513">
      <w:r w:rsidRPr="0094183D">
        <w:rPr>
          <w:b/>
          <w:bCs/>
        </w:rPr>
        <w:tab/>
        <w:t xml:space="preserve">WHEREAS, </w:t>
      </w:r>
      <w:r w:rsidRPr="0094183D">
        <w:t>Covered Entity wishes to disclose a Limited Data Set (as hereinafter defined) to Data User for use by Data User in performance of the Activities</w:t>
      </w:r>
      <w:r>
        <w:t xml:space="preserve"> </w:t>
      </w:r>
      <w:r w:rsidRPr="00C1542D">
        <w:rPr>
          <w:bCs/>
        </w:rPr>
        <w:t>(as hereinafter defined)</w:t>
      </w:r>
      <w:r w:rsidRPr="00C1542D">
        <w:t>;</w:t>
      </w:r>
    </w:p>
    <w:p w14:paraId="4CBD1BBE" w14:textId="77777777" w:rsidR="00CB1B21" w:rsidRPr="0094183D" w:rsidRDefault="00CB1B21" w:rsidP="00415513">
      <w:r w:rsidRPr="0094183D">
        <w:rPr>
          <w:b/>
          <w:bCs/>
        </w:rPr>
        <w:tab/>
        <w:t xml:space="preserve">WHEREAS, </w:t>
      </w:r>
      <w:r w:rsidRPr="0094183D">
        <w:t xml:space="preserve">Covered Entity wishes to ensure that Data User will appropriately safeguard the Limited Data Set in accordance with HIPAA and the HIPAA Regulations; </w:t>
      </w:r>
      <w:r w:rsidRPr="0094183D">
        <w:rPr>
          <w:i/>
          <w:iCs/>
        </w:rPr>
        <w:t>and</w:t>
      </w:r>
    </w:p>
    <w:p w14:paraId="1F75198F" w14:textId="77777777" w:rsidR="00CB1B21" w:rsidRPr="0094183D" w:rsidRDefault="00CB1B21" w:rsidP="00415513">
      <w:r w:rsidRPr="0094183D">
        <w:rPr>
          <w:b/>
          <w:bCs/>
        </w:rPr>
        <w:lastRenderedPageBreak/>
        <w:tab/>
        <w:t xml:space="preserve">WHEREAS, </w:t>
      </w:r>
      <w:r w:rsidRPr="0094183D">
        <w:t>Data User agrees to protect the privacy of the Limited Data Set in accordance with the terms and conditions of this Agreement, HIPAA and the HIPAA Regulations;</w:t>
      </w:r>
    </w:p>
    <w:p w14:paraId="59D68B55" w14:textId="60749F99" w:rsidR="00CB1B21" w:rsidRDefault="00CB1B21" w:rsidP="00415513">
      <w:r w:rsidRPr="0094183D">
        <w:rPr>
          <w:b/>
          <w:bCs/>
        </w:rPr>
        <w:tab/>
        <w:t xml:space="preserve">NOW THEREFORE, </w:t>
      </w:r>
      <w:r w:rsidRPr="0094183D">
        <w:t>Covered Entity and Data User agree as follows:</w:t>
      </w:r>
    </w:p>
    <w:p w14:paraId="751B96C8" w14:textId="63257ACB" w:rsidR="00415513" w:rsidRDefault="00415513" w:rsidP="002A7C83">
      <w:pPr>
        <w:pStyle w:val="ListParagraph"/>
        <w:numPr>
          <w:ilvl w:val="0"/>
          <w:numId w:val="11"/>
        </w:numPr>
      </w:pPr>
      <w:r w:rsidRPr="002A7C83">
        <w:rPr>
          <w:b/>
          <w:bCs/>
        </w:rPr>
        <w:t>Definitions</w:t>
      </w:r>
      <w:r w:rsidR="001224A2">
        <w:t xml:space="preserve"> </w:t>
      </w:r>
      <w:r w:rsidRPr="00415513">
        <w:t>The parties agree that the following terms, when used in this Agreement, shall have the following meanings, provided that the terms set forth below shall be deemed to be modified to reflect any changes made to such terms from time to time as provided in HIPAA and the HIPAA Regulations.</w:t>
      </w:r>
    </w:p>
    <w:p w14:paraId="3013EDAB" w14:textId="7FB52E2C" w:rsidR="00415513" w:rsidRDefault="00415513" w:rsidP="00415513">
      <w:pPr>
        <w:pStyle w:val="ListParagraph"/>
        <w:numPr>
          <w:ilvl w:val="1"/>
          <w:numId w:val="11"/>
        </w:numPr>
      </w:pPr>
      <w:r w:rsidRPr="00415513">
        <w:rPr>
          <w:i/>
          <w:iCs/>
          <w:u w:val="single"/>
        </w:rPr>
        <w:t>Activities</w:t>
      </w:r>
      <w:r w:rsidRPr="00415513">
        <w:t xml:space="preserve"> shall mean tasks and actions related to the performance of TBI Model System research projects.</w:t>
      </w:r>
    </w:p>
    <w:p w14:paraId="64B94950" w14:textId="62694510" w:rsidR="00415513" w:rsidRDefault="00415513" w:rsidP="00415513">
      <w:pPr>
        <w:pStyle w:val="ListParagraph"/>
        <w:numPr>
          <w:ilvl w:val="1"/>
          <w:numId w:val="11"/>
        </w:numPr>
      </w:pPr>
      <w:r w:rsidRPr="00415513">
        <w:rPr>
          <w:i/>
          <w:iCs/>
          <w:u w:val="single"/>
        </w:rPr>
        <w:t>Covered Entity</w:t>
      </w:r>
      <w:r w:rsidRPr="00415513">
        <w:rPr>
          <w:i/>
          <w:iCs/>
        </w:rPr>
        <w:t xml:space="preserve"> </w:t>
      </w:r>
      <w:r w:rsidRPr="00415513">
        <w:t>means a health plan (as defined by HIPAA and the HIPAA Regulations); a health care clearinghouse (as defined by HIPAA and the HIPAA Regulations); or a health care provider (as defined by HIPAA and the HIPAA Regulations) who transmits any health information in electronic form in connection with a transaction covered by the HIPAA Regulations.</w:t>
      </w:r>
    </w:p>
    <w:p w14:paraId="7B8B5EBC" w14:textId="03F5D528" w:rsidR="00415513" w:rsidRDefault="00415513" w:rsidP="00415513">
      <w:pPr>
        <w:pStyle w:val="ListParagraph"/>
        <w:numPr>
          <w:ilvl w:val="1"/>
          <w:numId w:val="11"/>
        </w:numPr>
      </w:pPr>
      <w:r w:rsidRPr="00415513">
        <w:rPr>
          <w:i/>
          <w:iCs/>
          <w:u w:val="single"/>
        </w:rPr>
        <w:t>HIPAA</w:t>
      </w:r>
      <w:r w:rsidRPr="00415513">
        <w:t xml:space="preserve"> means the Health Insurance Portability and Accountability Act of 1996, Public Law 104-191.</w:t>
      </w:r>
    </w:p>
    <w:p w14:paraId="08FF2405" w14:textId="27FE4F73" w:rsidR="00415513" w:rsidRDefault="00415513" w:rsidP="00415513">
      <w:pPr>
        <w:pStyle w:val="ListParagraph"/>
        <w:numPr>
          <w:ilvl w:val="1"/>
          <w:numId w:val="11"/>
        </w:numPr>
      </w:pPr>
      <w:r w:rsidRPr="00415513">
        <w:rPr>
          <w:i/>
          <w:iCs/>
          <w:u w:val="single"/>
        </w:rPr>
        <w:t>HIPAA Regulations</w:t>
      </w:r>
      <w:r w:rsidRPr="00415513">
        <w:t xml:space="preserve"> means the regulations promulgated under HIPAA by the United States Department of Health and Human Services, including, but not limited to, 45 C. F. R. Part 160 and 45 C. F. R. Part 164.</w:t>
      </w:r>
    </w:p>
    <w:p w14:paraId="623AB19D" w14:textId="51CAE5D7" w:rsidR="00415513" w:rsidRDefault="00415513" w:rsidP="00415513">
      <w:pPr>
        <w:pStyle w:val="ListParagraph"/>
        <w:numPr>
          <w:ilvl w:val="1"/>
          <w:numId w:val="11"/>
        </w:numPr>
      </w:pPr>
      <w:r w:rsidRPr="00415513">
        <w:rPr>
          <w:i/>
          <w:iCs/>
          <w:u w:val="single"/>
        </w:rPr>
        <w:t>Individually Identifiable Health Information</w:t>
      </w:r>
      <w:r w:rsidRPr="00415513">
        <w:t xml:space="preserve"> means information that is a subset of health information, including demographic information collected from an individual, and;</w:t>
      </w:r>
    </w:p>
    <w:p w14:paraId="6FE040D8" w14:textId="6EA2B966" w:rsidR="00415513" w:rsidRDefault="00415513" w:rsidP="00415513">
      <w:pPr>
        <w:pStyle w:val="ListParagraph"/>
        <w:numPr>
          <w:ilvl w:val="2"/>
          <w:numId w:val="11"/>
        </w:numPr>
      </w:pPr>
      <w:r w:rsidRPr="00415513">
        <w:t>is created or received by a health care provider, health plan, employer, or health care clearinghouse; and</w:t>
      </w:r>
    </w:p>
    <w:p w14:paraId="73AF6A66" w14:textId="755E1CCD" w:rsidR="00415513" w:rsidRDefault="00415513" w:rsidP="00415513">
      <w:pPr>
        <w:pStyle w:val="ListParagraph"/>
        <w:numPr>
          <w:ilvl w:val="2"/>
          <w:numId w:val="11"/>
        </w:numPr>
      </w:pPr>
      <w:r w:rsidRPr="00415513">
        <w:t>relates to the past, present, or future physical or mental health or condition of an individual; the provision of health care to an individual; or the past, present or future payment for the provision of health care to an individual; and</w:t>
      </w:r>
    </w:p>
    <w:p w14:paraId="3683D1F2" w14:textId="3F7151AD" w:rsidR="00415513" w:rsidRDefault="00415513" w:rsidP="00415513">
      <w:pPr>
        <w:pStyle w:val="ListParagraph"/>
        <w:numPr>
          <w:ilvl w:val="3"/>
          <w:numId w:val="11"/>
        </w:numPr>
      </w:pPr>
      <w:r w:rsidRPr="00415513">
        <w:t>that identifies the individual; or</w:t>
      </w:r>
    </w:p>
    <w:p w14:paraId="79573362" w14:textId="0CC3A1E2" w:rsidR="00415513" w:rsidRDefault="00415513" w:rsidP="00415513">
      <w:pPr>
        <w:pStyle w:val="ListParagraph"/>
        <w:numPr>
          <w:ilvl w:val="3"/>
          <w:numId w:val="11"/>
        </w:numPr>
      </w:pPr>
      <w:r w:rsidRPr="00415513">
        <w:t>with respect to which there is a reasonable basis to believe the information can be used to identify the individual.</w:t>
      </w:r>
    </w:p>
    <w:p w14:paraId="48261F36" w14:textId="0E995BB9" w:rsidR="001224A2" w:rsidRDefault="001224A2" w:rsidP="001224A2">
      <w:pPr>
        <w:pStyle w:val="ListParagraph"/>
        <w:numPr>
          <w:ilvl w:val="1"/>
          <w:numId w:val="11"/>
        </w:numPr>
      </w:pPr>
      <w:r w:rsidRPr="001224A2">
        <w:rPr>
          <w:i/>
          <w:u w:val="single"/>
        </w:rPr>
        <w:t>Limited Data Set</w:t>
      </w:r>
      <w:r w:rsidRPr="001224A2">
        <w:rPr>
          <w:u w:val="single"/>
        </w:rPr>
        <w:t xml:space="preserve"> </w:t>
      </w:r>
      <w:r w:rsidRPr="001224A2">
        <w:t>shall have the same meaning as the term "limited data set" in 45 CFR 164.514(e) of the Privacy Rule. A limited data set is Protected Health Information that excludes the following direct identifiers of the individual or of relatives, employers, or household members of the individual: names, postal address information (other than town or city, state, and zip code), telephone numbers, fax numbers, electronic mail addresses, social security numbers, medical record numbers, health plan beneficiary numbers, account numbers, certificate/license numbers, vehicle identifiers and serial numbers (including license plate numbers), device identifiers and serial numbers, web universal resource locators (URLs), internet protocol (IP) address numbers, biometric identifiers (including finger and voice prints), full face photographic images, and any comparable images.</w:t>
      </w:r>
    </w:p>
    <w:p w14:paraId="2C6071B8" w14:textId="756653D1" w:rsidR="001224A2" w:rsidRDefault="001224A2" w:rsidP="001224A2">
      <w:pPr>
        <w:pStyle w:val="ListParagraph"/>
        <w:numPr>
          <w:ilvl w:val="1"/>
          <w:numId w:val="11"/>
        </w:numPr>
      </w:pPr>
      <w:r w:rsidRPr="001224A2">
        <w:rPr>
          <w:i/>
          <w:u w:val="single"/>
        </w:rPr>
        <w:lastRenderedPageBreak/>
        <w:t>Privacy Rule</w:t>
      </w:r>
      <w:r w:rsidRPr="001224A2">
        <w:rPr>
          <w:u w:val="single"/>
        </w:rPr>
        <w:t xml:space="preserve"> </w:t>
      </w:r>
      <w:r w:rsidRPr="001224A2">
        <w:t>shall mean the Standards for Privacy of Individually Identifiable Information at 45 CFR Part 160 and Part 164, Subparts A and E, as amended from time to time.</w:t>
      </w:r>
    </w:p>
    <w:p w14:paraId="71AA7B13" w14:textId="2F76D07F" w:rsidR="001224A2" w:rsidRDefault="001224A2" w:rsidP="001224A2">
      <w:pPr>
        <w:pStyle w:val="ListParagraph"/>
        <w:numPr>
          <w:ilvl w:val="1"/>
          <w:numId w:val="11"/>
        </w:numPr>
      </w:pPr>
      <w:r w:rsidRPr="001224A2">
        <w:rPr>
          <w:i/>
          <w:iCs/>
          <w:u w:val="single"/>
        </w:rPr>
        <w:t>Protected Health Informati</w:t>
      </w:r>
      <w:r w:rsidRPr="001224A2">
        <w:rPr>
          <w:u w:val="single"/>
        </w:rPr>
        <w:t xml:space="preserve">on or </w:t>
      </w:r>
      <w:r w:rsidRPr="001224A2">
        <w:rPr>
          <w:i/>
          <w:iCs/>
          <w:u w:val="single"/>
        </w:rPr>
        <w:t>PHI</w:t>
      </w:r>
      <w:r w:rsidRPr="001224A2">
        <w:t xml:space="preserve"> means Individually Identifiable Health Information, excluding certain education and employment records in accordance with the HIPAA regulations, that is transmitted by electronic media; maintained in any medium described in the definition of the term </w:t>
      </w:r>
      <w:r w:rsidRPr="001224A2">
        <w:rPr>
          <w:iCs/>
        </w:rPr>
        <w:t>electronic media</w:t>
      </w:r>
      <w:r w:rsidRPr="001224A2">
        <w:t xml:space="preserve"> in the HIPAA Regulations; or transmitted or maintained in any other form or medium.</w:t>
      </w:r>
    </w:p>
    <w:p w14:paraId="7C29745F" w14:textId="20E7DC9B" w:rsidR="001224A2" w:rsidRDefault="001224A2" w:rsidP="001224A2">
      <w:pPr>
        <w:pStyle w:val="ListParagraph"/>
        <w:numPr>
          <w:ilvl w:val="1"/>
          <w:numId w:val="11"/>
        </w:numPr>
      </w:pPr>
      <w:r w:rsidRPr="001224A2">
        <w:rPr>
          <w:i/>
          <w:u w:val="single"/>
        </w:rPr>
        <w:t>Required by Law</w:t>
      </w:r>
      <w:r w:rsidRPr="001224A2">
        <w:rPr>
          <w:u w:val="single"/>
        </w:rPr>
        <w:t xml:space="preserve"> </w:t>
      </w:r>
      <w:r w:rsidRPr="001224A2">
        <w:t>shall have the same meaning as the term "required by law" in 45 CFR Sect. 164.501 of the Privacy Rule.</w:t>
      </w:r>
    </w:p>
    <w:p w14:paraId="78169510" w14:textId="1ECE0177" w:rsidR="001224A2" w:rsidRPr="001224A2" w:rsidRDefault="001224A2" w:rsidP="001224A2">
      <w:pPr>
        <w:pStyle w:val="ListParagraph"/>
        <w:numPr>
          <w:ilvl w:val="0"/>
          <w:numId w:val="11"/>
        </w:numPr>
      </w:pPr>
      <w:r w:rsidRPr="001224A2">
        <w:rPr>
          <w:b/>
          <w:bCs/>
        </w:rPr>
        <w:t>Obligations of Covered Entity</w:t>
      </w:r>
    </w:p>
    <w:p w14:paraId="601B0549" w14:textId="4CDAE145" w:rsidR="001224A2" w:rsidRDefault="001224A2" w:rsidP="001224A2">
      <w:pPr>
        <w:pStyle w:val="ListParagraph"/>
        <w:numPr>
          <w:ilvl w:val="1"/>
          <w:numId w:val="11"/>
        </w:numPr>
      </w:pPr>
      <w:r w:rsidRPr="001224A2">
        <w:rPr>
          <w:i/>
          <w:iCs/>
        </w:rPr>
        <w:t>Limited Data Set</w:t>
      </w:r>
      <w:r w:rsidRPr="001224A2">
        <w:t>. Covered Entity agrees to disclose the following Protected Health Information to Data User: The Traumatic Brain Injury Model Systems (TBIMS) National Database (NDB) (</w:t>
      </w:r>
      <w:r w:rsidRPr="001224A2">
        <w:rPr>
          <w:i/>
        </w:rPr>
        <w:t>a “Limited Data Set”</w:t>
      </w:r>
      <w:r w:rsidRPr="001224A2">
        <w:t xml:space="preserve"> as defined herein). Such Limited Data Set shall not contain any identifiers of the individual who is the subject of the Protected Health Information, or of relatives, employers or household members of the individual as listed above in section 1f.</w:t>
      </w:r>
    </w:p>
    <w:p w14:paraId="0400FDCB" w14:textId="7CFE5817" w:rsidR="001224A2" w:rsidRDefault="001224A2" w:rsidP="001224A2">
      <w:pPr>
        <w:pStyle w:val="ListParagraph"/>
        <w:numPr>
          <w:ilvl w:val="1"/>
          <w:numId w:val="11"/>
        </w:numPr>
      </w:pPr>
      <w:r w:rsidRPr="001224A2">
        <w:rPr>
          <w:i/>
        </w:rPr>
        <w:t>PHI not allowed in limited datasets that is retained by the TBINDSC</w:t>
      </w:r>
      <w:r w:rsidRPr="001224A2">
        <w:t>. The TBINDSC does retain PHI not allowed in the limited datasets (e.g., street addresses and latitude/longitude coordinates). These data are not available to any internal (TBIMS) or external Data User. These data are only released by the TBINDSC to vendors under a Business Associates Agreement (BAA) for the sole purpose of converting addresses to latitude/longitude coordinates, census tracts, and other geocode information (e.g., distance to particular facilities).</w:t>
      </w:r>
    </w:p>
    <w:p w14:paraId="448654AE" w14:textId="2FE499E9" w:rsidR="001224A2" w:rsidRDefault="001224A2" w:rsidP="001224A2">
      <w:pPr>
        <w:pStyle w:val="ListParagraph"/>
        <w:numPr>
          <w:ilvl w:val="0"/>
          <w:numId w:val="11"/>
        </w:numPr>
        <w:rPr>
          <w:b/>
          <w:bCs/>
        </w:rPr>
      </w:pPr>
      <w:r w:rsidRPr="001224A2">
        <w:rPr>
          <w:b/>
          <w:bCs/>
        </w:rPr>
        <w:t>Obligations of Data User</w:t>
      </w:r>
    </w:p>
    <w:p w14:paraId="6FF14327" w14:textId="226AFED0" w:rsidR="001224A2" w:rsidRDefault="001224A2" w:rsidP="001224A2">
      <w:pPr>
        <w:pStyle w:val="ListParagraph"/>
        <w:numPr>
          <w:ilvl w:val="1"/>
          <w:numId w:val="11"/>
        </w:numPr>
      </w:pPr>
      <w:r w:rsidRPr="001224A2">
        <w:rPr>
          <w:i/>
          <w:iCs/>
        </w:rPr>
        <w:t>Performance of Activities</w:t>
      </w:r>
      <w:r w:rsidRPr="001224A2">
        <w:t xml:space="preserve">. Data User may use and disclose the Data Set received from Covered Entity only in connection with the performance of TBI Model System research activities. Data User shall limit the use or receipt of the Data Set to members of the Traumatic Brain Injury Model Systems research team at </w:t>
      </w:r>
      <w:r w:rsidRPr="001224A2">
        <w:rPr>
          <w:b/>
        </w:rPr>
        <w:t>[</w:t>
      </w:r>
      <w:r w:rsidRPr="001224A2">
        <w:rPr>
          <w:b/>
          <w:highlight w:val="yellow"/>
        </w:rPr>
        <w:t>name of TBI Model System</w:t>
      </w:r>
      <w:r w:rsidRPr="001224A2">
        <w:rPr>
          <w:b/>
        </w:rPr>
        <w:t>]</w:t>
      </w:r>
      <w:r w:rsidRPr="001224A2">
        <w:t>.</w:t>
      </w:r>
    </w:p>
    <w:p w14:paraId="7DBE43E8" w14:textId="4A6BA221" w:rsidR="001224A2" w:rsidRDefault="001224A2" w:rsidP="001224A2">
      <w:pPr>
        <w:pStyle w:val="ListParagraph"/>
        <w:numPr>
          <w:ilvl w:val="1"/>
          <w:numId w:val="11"/>
        </w:numPr>
      </w:pPr>
      <w:r w:rsidRPr="001224A2">
        <w:rPr>
          <w:i/>
          <w:iCs/>
        </w:rPr>
        <w:t>Nondisclosure Except as Provided in Agreement</w:t>
      </w:r>
      <w:r w:rsidRPr="001224A2">
        <w:t>. Data User shall not use or further disclose the Limited Data Set except as permitted or required by this Agreement.</w:t>
      </w:r>
    </w:p>
    <w:p w14:paraId="1E37AFA5" w14:textId="7AF77E6C" w:rsidR="001224A2" w:rsidRDefault="001224A2" w:rsidP="001224A2">
      <w:pPr>
        <w:pStyle w:val="ListParagraph"/>
        <w:numPr>
          <w:ilvl w:val="2"/>
          <w:numId w:val="11"/>
        </w:numPr>
      </w:pPr>
      <w:r w:rsidRPr="001224A2">
        <w:t>Specifically, there is no authorization of redistribution or sharing of the TBIMS NDB with anyone or any entity for any reason.</w:t>
      </w:r>
    </w:p>
    <w:p w14:paraId="03BA0134" w14:textId="0D4FD8C2" w:rsidR="001224A2" w:rsidRDefault="001224A2" w:rsidP="001224A2">
      <w:pPr>
        <w:pStyle w:val="ListParagraph"/>
        <w:numPr>
          <w:ilvl w:val="2"/>
          <w:numId w:val="11"/>
        </w:numPr>
      </w:pPr>
      <w:r w:rsidRPr="001224A2">
        <w:t>Specifically, use of TBIMS data by Data User is restricted to the purpose stated in the request and only for a period of three (3) years from the date of data receipt. New, renewed or further use of data requires a new request and Data Use Agreement.</w:t>
      </w:r>
    </w:p>
    <w:p w14:paraId="4B3B32CA" w14:textId="36F32FFF" w:rsidR="001224A2" w:rsidRDefault="001224A2" w:rsidP="001224A2">
      <w:pPr>
        <w:pStyle w:val="ListParagraph"/>
        <w:numPr>
          <w:ilvl w:val="1"/>
          <w:numId w:val="11"/>
        </w:numPr>
      </w:pPr>
      <w:r w:rsidRPr="001224A2">
        <w:rPr>
          <w:i/>
          <w:iCs/>
        </w:rPr>
        <w:t>Use or Disclosure as if Covered Entity</w:t>
      </w:r>
      <w:r w:rsidRPr="001224A2">
        <w:t>. Data User may not use or disclose the Limited Data Set in any manner that would violate the requirements of HIPAA or the HIPAA Regulations if used or disclosed by Covered Entity.</w:t>
      </w:r>
    </w:p>
    <w:p w14:paraId="2A851491" w14:textId="27A9E00D" w:rsidR="001224A2" w:rsidRDefault="001224A2" w:rsidP="001224A2">
      <w:pPr>
        <w:pStyle w:val="ListParagraph"/>
        <w:numPr>
          <w:ilvl w:val="1"/>
          <w:numId w:val="11"/>
        </w:numPr>
      </w:pPr>
      <w:r w:rsidRPr="001224A2">
        <w:rPr>
          <w:i/>
        </w:rPr>
        <w:t>Linking of Limited Data Set</w:t>
      </w:r>
      <w:r w:rsidRPr="001224A2">
        <w:t>. Linking of the TBIMS NDB data to any other data is prohibited without the explicit description of the data to be linked and the linking procedures to be used in the request for TBIMS NDB data.</w:t>
      </w:r>
    </w:p>
    <w:p w14:paraId="3B051915" w14:textId="603DE9F2" w:rsidR="001224A2" w:rsidRDefault="001224A2" w:rsidP="001224A2">
      <w:pPr>
        <w:pStyle w:val="ListParagraph"/>
        <w:numPr>
          <w:ilvl w:val="2"/>
          <w:numId w:val="11"/>
        </w:numPr>
      </w:pPr>
      <w:r w:rsidRPr="001224A2">
        <w:lastRenderedPageBreak/>
        <w:t>Data Users linking other data to the TBIMS NDB data will provide the TBINDSC with information regarding the success of their linking (the description and number of cases linked and the procedures employed). Any change in the variables linked requires a new or modified request.</w:t>
      </w:r>
    </w:p>
    <w:p w14:paraId="4244C753" w14:textId="5CF0CFA2" w:rsidR="001224A2" w:rsidRDefault="001224A2" w:rsidP="001224A2">
      <w:pPr>
        <w:pStyle w:val="ListParagraph"/>
        <w:numPr>
          <w:ilvl w:val="2"/>
          <w:numId w:val="11"/>
        </w:numPr>
      </w:pPr>
      <w:r w:rsidRPr="001224A2">
        <w:t>By signing this Data Use Agreement, Data Users acknowledge the responsibilities associated with linking data to the TBIMS NDB, if applicable.</w:t>
      </w:r>
    </w:p>
    <w:p w14:paraId="1D5A7470" w14:textId="4D581326" w:rsidR="001224A2" w:rsidRDefault="001224A2" w:rsidP="001224A2">
      <w:pPr>
        <w:pStyle w:val="ListParagraph"/>
        <w:numPr>
          <w:ilvl w:val="1"/>
          <w:numId w:val="11"/>
        </w:numPr>
      </w:pPr>
      <w:r w:rsidRPr="001224A2" w:rsidDel="00D94D55">
        <w:rPr>
          <w:i/>
          <w:iCs/>
        </w:rPr>
        <w:t>Identification of Individual</w:t>
      </w:r>
      <w:r w:rsidRPr="001224A2" w:rsidDel="00D94D55">
        <w:t>.</w:t>
      </w:r>
      <w:r w:rsidRPr="001224A2">
        <w:t xml:space="preserve"> </w:t>
      </w:r>
      <w:r w:rsidRPr="001224A2" w:rsidDel="00D94D55">
        <w:t>Data User may not use the Limited Data Set to identify or contact any individual who is the subject of the PHI from which the Limited Data Set was created.</w:t>
      </w:r>
    </w:p>
    <w:p w14:paraId="46E37378" w14:textId="19EB9353" w:rsidR="001224A2" w:rsidRDefault="001224A2" w:rsidP="001224A2">
      <w:pPr>
        <w:pStyle w:val="ListParagraph"/>
        <w:numPr>
          <w:ilvl w:val="1"/>
          <w:numId w:val="11"/>
        </w:numPr>
      </w:pPr>
      <w:r w:rsidRPr="001224A2">
        <w:rPr>
          <w:i/>
          <w:iCs/>
        </w:rPr>
        <w:t>Disclosures Required by Law</w:t>
      </w:r>
      <w:r w:rsidRPr="001224A2">
        <w:t>. Data User may use and disclose the Limited Data Set as required by law. Data User shall advise Covered Entity, in writing, prior to any such disclosure, so that the Covered Entity shall have the opportunity to object or otherwise respond to such disclosure.</w:t>
      </w:r>
      <w:r w:rsidR="0087420E">
        <w:t xml:space="preserve"> </w:t>
      </w:r>
      <w:r w:rsidR="0087420E" w:rsidRPr="0087420E">
        <w:t>A number of TBIMS centers have a Certificate of Confidentiality that covers disclosure of their data; therefore, Data User must treat all data as being covered by a Certificate of Confidentiality until advised otherwise by Covered Entity.</w:t>
      </w:r>
    </w:p>
    <w:p w14:paraId="23380897" w14:textId="4A986038" w:rsidR="001224A2" w:rsidRDefault="001224A2" w:rsidP="001224A2">
      <w:pPr>
        <w:pStyle w:val="ListParagraph"/>
        <w:numPr>
          <w:ilvl w:val="1"/>
          <w:numId w:val="11"/>
        </w:numPr>
      </w:pPr>
      <w:r w:rsidRPr="001224A2">
        <w:rPr>
          <w:i/>
          <w:iCs/>
        </w:rPr>
        <w:t>Safeguards</w:t>
      </w:r>
      <w:r w:rsidRPr="001224A2">
        <w:t>. Data User shall use appropriate safeguards to prevent use or disclosure of the Limited Data Set other than as provided by this Agreement.</w:t>
      </w:r>
    </w:p>
    <w:p w14:paraId="52B032B6" w14:textId="51FCBCFE" w:rsidR="00C37A5E" w:rsidRDefault="00C37A5E" w:rsidP="00C37A5E">
      <w:pPr>
        <w:pStyle w:val="ListParagraph"/>
        <w:numPr>
          <w:ilvl w:val="2"/>
          <w:numId w:val="11"/>
        </w:numPr>
      </w:pPr>
      <w:r w:rsidRPr="00C37A5E">
        <w:t>Specifically, Data Users provided with any PHI allowed in limited datasets (with specific justification), are to maintain strict security of PHI, personally supervise its use, and delete the PHI as soon as possible, and signing this Data Use Agreement acknowledges those responsibilities.</w:t>
      </w:r>
    </w:p>
    <w:p w14:paraId="67EB3CA1" w14:textId="167EDB4B" w:rsidR="00C37A5E" w:rsidRDefault="00C37A5E" w:rsidP="00C37A5E">
      <w:pPr>
        <w:pStyle w:val="ListParagraph"/>
        <w:numPr>
          <w:ilvl w:val="1"/>
          <w:numId w:val="11"/>
        </w:numPr>
      </w:pPr>
      <w:r w:rsidRPr="00C37A5E">
        <w:rPr>
          <w:i/>
          <w:iCs/>
        </w:rPr>
        <w:t>Data User’s Agent</w:t>
      </w:r>
      <w:r w:rsidRPr="00C37A5E">
        <w:t>. Data User shall not disclose the Limited Data Set to any agent or subcontractor of Data User except with the prior written consent of Covered Entity. Data User shall ensure that any agents, including subcontractors, to whom it provides that Limited Data Set agree in writing to be bound by the same restrictions and conditions that apply to Data User with respect to such Limited Data Set.</w:t>
      </w:r>
    </w:p>
    <w:p w14:paraId="1BAF77EF" w14:textId="7F5844F0" w:rsidR="00C37A5E" w:rsidRDefault="00C37A5E" w:rsidP="00C37A5E">
      <w:pPr>
        <w:pStyle w:val="ListParagraph"/>
        <w:numPr>
          <w:ilvl w:val="2"/>
          <w:numId w:val="11"/>
        </w:numPr>
      </w:pPr>
      <w:r w:rsidRPr="00C37A5E">
        <w:t>Anyone receiving the NDB data, including any Data User’s Agent will need to complete a data use agreement.</w:t>
      </w:r>
    </w:p>
    <w:p w14:paraId="7859AE29" w14:textId="6865993D" w:rsidR="00C37A5E" w:rsidRDefault="00C37A5E" w:rsidP="00C37A5E">
      <w:pPr>
        <w:pStyle w:val="ListParagraph"/>
        <w:numPr>
          <w:ilvl w:val="1"/>
          <w:numId w:val="11"/>
        </w:numPr>
      </w:pPr>
      <w:r w:rsidRPr="00C37A5E">
        <w:rPr>
          <w:i/>
          <w:iCs/>
        </w:rPr>
        <w:t>Reporting</w:t>
      </w:r>
      <w:r w:rsidRPr="00C37A5E">
        <w:t>. Data User shall notify Covered Entity within 48 hours of Data User becoming aware of any use or disclosure of the Limited Data Set in violation of this Agreement or applicable law.</w:t>
      </w:r>
    </w:p>
    <w:p w14:paraId="1CB4A7D5" w14:textId="005383CE" w:rsidR="00C37A5E" w:rsidRDefault="00C37A5E" w:rsidP="00C37A5E">
      <w:pPr>
        <w:pStyle w:val="ListParagraph"/>
        <w:numPr>
          <w:ilvl w:val="2"/>
          <w:numId w:val="11"/>
        </w:numPr>
      </w:pPr>
      <w:r w:rsidRPr="00C37A5E">
        <w:t>Specifically, Data Users are prohibited from attempting to use the TBIMS NDB data to identify TBIMS participants, and any inadvertent identification is to be reported to the TBINDSC.</w:t>
      </w:r>
    </w:p>
    <w:p w14:paraId="1EF42438" w14:textId="51DD16B1" w:rsidR="00C37A5E" w:rsidRDefault="00C37A5E" w:rsidP="00C37A5E">
      <w:pPr>
        <w:pStyle w:val="ListParagraph"/>
        <w:numPr>
          <w:ilvl w:val="1"/>
          <w:numId w:val="11"/>
        </w:numPr>
      </w:pPr>
      <w:r w:rsidRPr="00C37A5E">
        <w:rPr>
          <w:i/>
          <w:iCs/>
        </w:rPr>
        <w:t>Notifications, Presentations and Publications</w:t>
      </w:r>
      <w:r w:rsidRPr="00C37A5E">
        <w:t xml:space="preserve">. Data User shall comply with the following Traumatic Brain Injury Model Systems Standard Operating Procedures as related to data use: </w:t>
      </w:r>
      <w:r w:rsidR="00E87D45" w:rsidRPr="00175574">
        <w:rPr>
          <w:i/>
          <w:iCs/>
        </w:rPr>
        <w:t xml:space="preserve">SOP DS002 – TBIMS Project Director Request for National Database; SOP DS001 </w:t>
      </w:r>
      <w:r w:rsidR="00E87D45">
        <w:rPr>
          <w:i/>
          <w:iCs/>
        </w:rPr>
        <w:t>–</w:t>
      </w:r>
      <w:r w:rsidR="00E87D45" w:rsidRPr="00175574">
        <w:rPr>
          <w:i/>
          <w:iCs/>
        </w:rPr>
        <w:t xml:space="preserve"> Access to the TBIMS National Database.</w:t>
      </w:r>
    </w:p>
    <w:p w14:paraId="226B9F99" w14:textId="1B9BEFD5" w:rsidR="002A7C83" w:rsidRDefault="002A7C83" w:rsidP="002A7C83">
      <w:pPr>
        <w:pStyle w:val="ListParagraph"/>
        <w:keepNext/>
        <w:numPr>
          <w:ilvl w:val="0"/>
          <w:numId w:val="11"/>
        </w:numPr>
        <w:rPr>
          <w:b/>
          <w:bCs/>
        </w:rPr>
      </w:pPr>
      <w:r w:rsidRPr="002A7C83">
        <w:rPr>
          <w:b/>
          <w:bCs/>
        </w:rPr>
        <w:t>Material Breach, Enforcement and Termination</w:t>
      </w:r>
    </w:p>
    <w:p w14:paraId="484C80C4" w14:textId="5133CCC6" w:rsidR="002A7C83" w:rsidRDefault="002A7C83" w:rsidP="002A7C83">
      <w:pPr>
        <w:pStyle w:val="ListParagraph"/>
        <w:numPr>
          <w:ilvl w:val="1"/>
          <w:numId w:val="11"/>
        </w:numPr>
      </w:pPr>
      <w:r w:rsidRPr="002A7C83">
        <w:rPr>
          <w:i/>
          <w:iCs/>
        </w:rPr>
        <w:t>Term</w:t>
      </w:r>
      <w:r w:rsidRPr="002A7C83">
        <w:t>. This Agreement shall be effective as of the Agreement Effective Date, and shall continue until the Agreement Termination Date or in accordance with the provisions of Section 4.c.</w:t>
      </w:r>
    </w:p>
    <w:p w14:paraId="4B43AC1C" w14:textId="647650FA" w:rsidR="002A7C83" w:rsidRDefault="002A7C83" w:rsidP="002A7C83">
      <w:pPr>
        <w:pStyle w:val="ListParagraph"/>
        <w:numPr>
          <w:ilvl w:val="1"/>
          <w:numId w:val="11"/>
        </w:numPr>
      </w:pPr>
      <w:r w:rsidRPr="002A7C83">
        <w:rPr>
          <w:i/>
          <w:iCs/>
        </w:rPr>
        <w:lastRenderedPageBreak/>
        <w:t>Covered Entity’s Rights of Access and Inspection</w:t>
      </w:r>
      <w:r w:rsidRPr="002A7C83">
        <w:t>. From time to time upon reasonable notice, or upon a reasonable determination by Covered Entity that Data User may have breached this Agreement, Data User shall make available for Covered Entity’s review and inspection Data User’s internal practices, systems, books and records so that Covered Entity may determine Data User’s compliance with its obligations under this Agreement. The fact that Covered Entity inspects, or fails to inspect, or has the right to inspect Data User’s systems and procedures does not relieve Data User of its responsibility to comply with this Agreement, nor does Covered Entity’s (1) failure to detect or (2) detection of, but failure to notify Data User or require Data User’s remediation of, any unsatisfactory practices constitute acceptance of such practice or a waiver of Covered Entity’s enforcement or termination rights or waiver of Data User’s obligations under this Section 4.b. This Section 4.b. shall survive termination of the Agreement.</w:t>
      </w:r>
    </w:p>
    <w:p w14:paraId="2A0D6528" w14:textId="35028518" w:rsidR="002A7C83" w:rsidRDefault="002A7C83" w:rsidP="002A7C83">
      <w:pPr>
        <w:pStyle w:val="ListParagraph"/>
        <w:numPr>
          <w:ilvl w:val="1"/>
          <w:numId w:val="11"/>
        </w:numPr>
      </w:pPr>
      <w:r w:rsidRPr="002A7C83">
        <w:rPr>
          <w:i/>
          <w:iCs/>
        </w:rPr>
        <w:t>Termination</w:t>
      </w:r>
      <w:r w:rsidRPr="002A7C83">
        <w:t>. Covered Entity may terminate this Agreement:</w:t>
      </w:r>
    </w:p>
    <w:p w14:paraId="3CB8BFD0" w14:textId="79AE143D" w:rsidR="002A7C83" w:rsidRDefault="002A7C83" w:rsidP="002A7C83">
      <w:pPr>
        <w:pStyle w:val="ListParagraph"/>
        <w:numPr>
          <w:ilvl w:val="2"/>
          <w:numId w:val="11"/>
        </w:numPr>
      </w:pPr>
      <w:r w:rsidRPr="002A7C83">
        <w:t>immediately if Data User is named as a defendant in a criminal proceeding for a violation of HIPAA or the HIPAA Regulations;</w:t>
      </w:r>
    </w:p>
    <w:p w14:paraId="264B5EA0" w14:textId="40F7B6D1" w:rsidR="002A7C83" w:rsidRDefault="002A7C83" w:rsidP="002A7C83">
      <w:pPr>
        <w:pStyle w:val="ListParagraph"/>
        <w:numPr>
          <w:ilvl w:val="2"/>
          <w:numId w:val="11"/>
        </w:numPr>
      </w:pPr>
      <w:r w:rsidRPr="002A7C83">
        <w:t>immediately if there is a finding or stipulation that the Data User has violated one of the following:</w:t>
      </w:r>
    </w:p>
    <w:p w14:paraId="7A2D512E" w14:textId="43CC9E87" w:rsidR="002A7C83" w:rsidRDefault="002A7C83" w:rsidP="002A7C83">
      <w:pPr>
        <w:pStyle w:val="ListParagraph"/>
        <w:numPr>
          <w:ilvl w:val="3"/>
          <w:numId w:val="11"/>
        </w:numPr>
      </w:pPr>
      <w:r w:rsidRPr="002A7C83">
        <w:t>any standard or requirement of HIPAA or the HIPAA Regulations; or</w:t>
      </w:r>
    </w:p>
    <w:p w14:paraId="1BEA81C7" w14:textId="13051891" w:rsidR="002A7C83" w:rsidRDefault="002A7C83" w:rsidP="002A7C83">
      <w:pPr>
        <w:pStyle w:val="ListParagraph"/>
        <w:numPr>
          <w:ilvl w:val="3"/>
          <w:numId w:val="11"/>
        </w:numPr>
      </w:pPr>
      <w:r w:rsidRPr="002A7C83">
        <w:t>any other security or privacy laws as determined or stipulated in an administrative or civil proceeding in which Data User has been joined; or</w:t>
      </w:r>
    </w:p>
    <w:p w14:paraId="458C2EFE" w14:textId="1D796765" w:rsidR="002A7C83" w:rsidRDefault="002A7C83" w:rsidP="002A7C83">
      <w:pPr>
        <w:pStyle w:val="ListParagraph"/>
        <w:numPr>
          <w:ilvl w:val="3"/>
          <w:numId w:val="11"/>
        </w:numPr>
      </w:pPr>
      <w:r w:rsidRPr="002A7C83">
        <w:t>pursuant to Sections 4.d.iii. or 5.b. of this Agreement.</w:t>
      </w:r>
    </w:p>
    <w:p w14:paraId="558047FC" w14:textId="291D0B8C" w:rsidR="002A7C83" w:rsidRDefault="002A7C83" w:rsidP="002A7C83">
      <w:pPr>
        <w:pStyle w:val="ListParagraph"/>
        <w:numPr>
          <w:ilvl w:val="1"/>
          <w:numId w:val="11"/>
        </w:numPr>
      </w:pPr>
      <w:r w:rsidRPr="002A7C83">
        <w:rPr>
          <w:i/>
          <w:iCs/>
        </w:rPr>
        <w:t>Remedies</w:t>
      </w:r>
      <w:r w:rsidRPr="002A7C83">
        <w:t>. If Covered Entity determines that Data User has materially breached or violated a material term of this Agreement, Covered Entity may, at its option, pursue any and all of the following remedies:</w:t>
      </w:r>
    </w:p>
    <w:p w14:paraId="5A50B92C" w14:textId="57B2C702" w:rsidR="002A7C83" w:rsidRDefault="002A7C83" w:rsidP="002A7C83">
      <w:pPr>
        <w:pStyle w:val="ListParagraph"/>
        <w:numPr>
          <w:ilvl w:val="2"/>
          <w:numId w:val="11"/>
        </w:numPr>
      </w:pPr>
      <w:r w:rsidRPr="002A7C83">
        <w:t>exercise any of its rights of access and inspection under Section 4.b. of this Agreement;</w:t>
      </w:r>
    </w:p>
    <w:p w14:paraId="008970F8" w14:textId="487487D3" w:rsidR="002A7C83" w:rsidRDefault="002A7C83" w:rsidP="002A7C83">
      <w:pPr>
        <w:pStyle w:val="ListParagraph"/>
        <w:numPr>
          <w:ilvl w:val="2"/>
          <w:numId w:val="11"/>
        </w:numPr>
      </w:pPr>
      <w:r w:rsidRPr="002A7C83">
        <w:t>any other reasonable steps that Covered Entity, in its sole discretion, shall deem necessary to cure such breach or end such violation; and/or</w:t>
      </w:r>
    </w:p>
    <w:p w14:paraId="398B89C9" w14:textId="67D540A7" w:rsidR="002A7C83" w:rsidRDefault="002A7C83" w:rsidP="002A7C83">
      <w:pPr>
        <w:pStyle w:val="ListParagraph"/>
        <w:numPr>
          <w:ilvl w:val="2"/>
          <w:numId w:val="11"/>
        </w:numPr>
      </w:pPr>
      <w:r w:rsidRPr="002A7C83">
        <w:t>terminate this Agreement immediately.</w:t>
      </w:r>
    </w:p>
    <w:p w14:paraId="7B1E4512" w14:textId="60478DA6" w:rsidR="002A7C83" w:rsidRDefault="002A7C83" w:rsidP="002A7C83">
      <w:pPr>
        <w:pStyle w:val="ListParagraph"/>
        <w:numPr>
          <w:ilvl w:val="1"/>
          <w:numId w:val="11"/>
        </w:numPr>
      </w:pPr>
      <w:r w:rsidRPr="002A7C83">
        <w:rPr>
          <w:i/>
          <w:iCs/>
        </w:rPr>
        <w:t>Knowledge of Non-Compliance</w:t>
      </w:r>
      <w:r w:rsidRPr="002A7C83">
        <w:t>. Any non-compliance by Data User with this Agreement or with HIPAA or the HIPAA Regulations automatically will be considered a material breach or violation of a material term of this Agreement if Data User knew or reasonably should have known of such non-compliance and failed to take reasonable steps immediately to cure the non-compliance.</w:t>
      </w:r>
    </w:p>
    <w:p w14:paraId="3411FC10" w14:textId="293DE384" w:rsidR="002A7C83" w:rsidRDefault="002A7C83" w:rsidP="002A7C83">
      <w:pPr>
        <w:pStyle w:val="ListParagraph"/>
        <w:numPr>
          <w:ilvl w:val="1"/>
          <w:numId w:val="11"/>
        </w:numPr>
      </w:pPr>
      <w:r w:rsidRPr="002A7C83">
        <w:rPr>
          <w:i/>
          <w:iCs/>
        </w:rPr>
        <w:t>Reporting to United States Department of Health and Human Services</w:t>
      </w:r>
      <w:r w:rsidRPr="002A7C83">
        <w:t xml:space="preserve">. If Covered Entity’s efforts to cure any material breach or end any material violation are unsuccessful as determined in the sole discretion of Covered Entity, and if termination of this Agreement is not feasible, Covered Entity shall report Data User’s material breach or material violation to the Secretary of the United States Department of Health and Human Services. Covered Entity shall advise Data User that Covered Entity has made such a report to the United States Department of Health and Human Services and Data User agrees that it shall not have or make </w:t>
      </w:r>
      <w:r w:rsidRPr="002A7C83">
        <w:lastRenderedPageBreak/>
        <w:t>any claim(s) whether at law, in equity, or under this Agreement, against Covered Entity with respect to such reports(s).</w:t>
      </w:r>
    </w:p>
    <w:p w14:paraId="464E04C9" w14:textId="4F668B28" w:rsidR="002A7C83" w:rsidRDefault="002A7C83" w:rsidP="002A7C83">
      <w:pPr>
        <w:pStyle w:val="ListParagraph"/>
        <w:numPr>
          <w:ilvl w:val="1"/>
          <w:numId w:val="11"/>
        </w:numPr>
      </w:pPr>
      <w:r w:rsidRPr="002A7C83">
        <w:rPr>
          <w:i/>
          <w:iCs/>
        </w:rPr>
        <w:t>Disposition of Records</w:t>
      </w:r>
      <w:r w:rsidRPr="002A7C83">
        <w:t>. Upon termination of this Agreement, Data User may retain the Limited Data Set but may only use and disclose the Limited Data Set for the purposes specified in this Agreement and only in accordance with the terms of this Agreement (unless said termination is due to a HIPAA violation, in which case the Limited Data Set must be returned to Covered Entity or destroyed in accordance with HIPAA regulations). However, Data User must abide by institutional protocols that may require destruction of data after Data Use Agreement expiration. This section shall survive termination of this Agreement.</w:t>
      </w:r>
    </w:p>
    <w:p w14:paraId="2BF56934" w14:textId="0AE8E55C" w:rsidR="002A7C83" w:rsidRDefault="002A7C83" w:rsidP="002A7C83">
      <w:pPr>
        <w:pStyle w:val="ListParagraph"/>
        <w:numPr>
          <w:ilvl w:val="1"/>
          <w:numId w:val="11"/>
        </w:numPr>
      </w:pPr>
      <w:r w:rsidRPr="002A7C83">
        <w:rPr>
          <w:i/>
          <w:iCs/>
        </w:rPr>
        <w:t>Injunctions</w:t>
      </w:r>
      <w:r w:rsidRPr="002A7C83">
        <w:t>. Covered Entity and Data User agree that material violations of the provisions of this Agreement may cause irreparable harm to Covered Entity. Accordingly, in addition to any other remedies available to Covered Entity at law, in equity, or under this Agreement, in the event of any material breach or violation of any of the provisions of this Agreement by Data User, or any explicit threat thereof, Covered Entity shall be entitled to an injunction or other decree of specific performance with respect to such violation or explicit threat thereof without the necessity of demonstrating actual damages. The parties’ respective rights and obligations under this Section 4.h. shall survive termination of the Agreement.</w:t>
      </w:r>
    </w:p>
    <w:p w14:paraId="23B3B864" w14:textId="2AC6A6A9" w:rsidR="002A7C83" w:rsidRDefault="002A7C83" w:rsidP="002A7C83">
      <w:pPr>
        <w:pStyle w:val="ListParagraph"/>
        <w:numPr>
          <w:ilvl w:val="1"/>
          <w:numId w:val="11"/>
        </w:numPr>
      </w:pPr>
      <w:r w:rsidRPr="002A7C83">
        <w:rPr>
          <w:i/>
          <w:iCs/>
        </w:rPr>
        <w:t>Indemnification.</w:t>
      </w:r>
      <w:r w:rsidRPr="002A7C83">
        <w:t xml:space="preserve"> Data User shall indemnify, hold harmless and defend Covered Entity from and against any and all claims, losses, liabilities, costs and other expenses to the extent resulting from the negligence, recklessness, or intentional misconduct of Data User, including without limitation, the negligent, reckless or intentional acts or omissions of Data User in connection with the representations, duties and obligations of Data User under this Agreement. Covered Entity shall indemnify, hold harmless and defend Data User from and against any and all claims, losses, liabilities, costs and other expenses to the extent resulting from the negligence, recklessness, or intentional misconduct of Covered Entity, including without limitation, the negligent, reckless or intentional acts or omissions of Covered Entity in connection with the representations, duties and obligations of Covered Entity under this Agreement. The parties’ respective rights and obligations under this Section 4.i. shall survive termination of the Agreement.</w:t>
      </w:r>
    </w:p>
    <w:p w14:paraId="21F4752B" w14:textId="77199CC1" w:rsidR="002A7C83" w:rsidRPr="002A7C83" w:rsidRDefault="002A7C83" w:rsidP="002A7C83">
      <w:pPr>
        <w:pStyle w:val="ListParagraph"/>
        <w:numPr>
          <w:ilvl w:val="0"/>
          <w:numId w:val="11"/>
        </w:numPr>
      </w:pPr>
      <w:r w:rsidRPr="002A7C83">
        <w:rPr>
          <w:b/>
          <w:bCs/>
        </w:rPr>
        <w:t>Miscellaneous Terms</w:t>
      </w:r>
    </w:p>
    <w:p w14:paraId="2C9F96AB" w14:textId="4E9FA655" w:rsidR="002A7C83" w:rsidRDefault="002A7C83" w:rsidP="002A7C83">
      <w:pPr>
        <w:pStyle w:val="ListParagraph"/>
        <w:numPr>
          <w:ilvl w:val="1"/>
          <w:numId w:val="11"/>
        </w:numPr>
      </w:pPr>
      <w:r w:rsidRPr="002A7C83">
        <w:rPr>
          <w:i/>
          <w:iCs/>
        </w:rPr>
        <w:t>State Law</w:t>
      </w:r>
      <w:r w:rsidRPr="002A7C83">
        <w:t>. Nothing in this Agreement shall be construed to require Data User to use or disclose the Limited Data Set without a written authorization from the individual who is the subject of the PHI from which the Limited Data Set was created; or written authorization from any other person, where such authorization is required under state law for such use or disclosure.</w:t>
      </w:r>
    </w:p>
    <w:p w14:paraId="5DBCF6B3" w14:textId="35025354" w:rsidR="002A7C83" w:rsidRDefault="002A7C83" w:rsidP="002A7C83">
      <w:pPr>
        <w:pStyle w:val="ListParagraph"/>
        <w:numPr>
          <w:ilvl w:val="1"/>
          <w:numId w:val="11"/>
        </w:numPr>
      </w:pPr>
      <w:r w:rsidRPr="002A7C83">
        <w:rPr>
          <w:i/>
          <w:iCs/>
        </w:rPr>
        <w:t>Amendment</w:t>
      </w:r>
      <w:r w:rsidRPr="002A7C83">
        <w:t xml:space="preserve">. Covered Entity and Data User agree that amendment of this Agreement may be required to ensure that Covered Entity and Data User comply with changes in state and federal laws and regulations relating to the privacy, security, and confidentiality of PHI or the Limited Data Set. Covered Entity may terminate this Agreement upon 30 days written notice in the event that the Covered Entity and Data User cannot agree upon such an amendment that ensures </w:t>
      </w:r>
      <w:r w:rsidRPr="002A7C83">
        <w:lastRenderedPageBreak/>
        <w:t>that Covered Entity and Data User will be in compliance with such laws and regulations within that timeframe. Whether Covered Entity or Data User agrees upon such an amendment is within the sole discretion of each party hereto.</w:t>
      </w:r>
    </w:p>
    <w:p w14:paraId="3543873F" w14:textId="421503D3" w:rsidR="002A7C83" w:rsidRDefault="002A7C83" w:rsidP="002A7C83">
      <w:pPr>
        <w:pStyle w:val="ListParagraph"/>
        <w:numPr>
          <w:ilvl w:val="1"/>
          <w:numId w:val="11"/>
        </w:numPr>
      </w:pPr>
      <w:r w:rsidRPr="002A7C83">
        <w:rPr>
          <w:i/>
          <w:iCs/>
        </w:rPr>
        <w:t>No Third-Party Beneficiaries</w:t>
      </w:r>
      <w:r w:rsidRPr="002A7C83">
        <w:t>. Nothing expressed or implied in this Agreement is intended or shall be deemed to confer upon any person other than Covered Entity and Data User, and their respective successors and assigns, any rights, obligations, remedies or liabilities.</w:t>
      </w:r>
    </w:p>
    <w:p w14:paraId="3B409017" w14:textId="3A820DE7" w:rsidR="002A7C83" w:rsidRDefault="002A7C83" w:rsidP="002A7C83">
      <w:pPr>
        <w:pStyle w:val="ListParagraph"/>
        <w:numPr>
          <w:ilvl w:val="1"/>
          <w:numId w:val="11"/>
        </w:numPr>
      </w:pPr>
      <w:r w:rsidRPr="002A7C83">
        <w:rPr>
          <w:i/>
          <w:iCs/>
        </w:rPr>
        <w:t>Ambiguities</w:t>
      </w:r>
      <w:r w:rsidRPr="002A7C83">
        <w:t>. The parties agree that any ambiguity in this Agreement shall be resolved in favor or a meaning that complies and is consistent with applicable law protecting the privacy, security and confidentiality of PHI and the Limited Data Set, including, but not limited to, HIPAA and the HIPAA Regulations.</w:t>
      </w:r>
    </w:p>
    <w:p w14:paraId="2A5C1E07" w14:textId="22D69D4C" w:rsidR="002A7C83" w:rsidRDefault="002A7C83" w:rsidP="002A7C83">
      <w:pPr>
        <w:pStyle w:val="ListParagraph"/>
        <w:numPr>
          <w:ilvl w:val="1"/>
          <w:numId w:val="11"/>
        </w:numPr>
      </w:pPr>
      <w:r w:rsidRPr="002A7C83">
        <w:rPr>
          <w:i/>
          <w:iCs/>
        </w:rPr>
        <w:t>Primacy</w:t>
      </w:r>
      <w:r w:rsidRPr="002A7C83">
        <w:t>. To the extent that any provisions of this Agreement conflict with the provisions of any other agreement or understanding between the parties, this Agreement shall control with respect to the subject matter of this Agreement.</w:t>
      </w:r>
    </w:p>
    <w:p w14:paraId="1E5D287B" w14:textId="6B0C25B8" w:rsidR="002A7C83" w:rsidRDefault="002A7C83" w:rsidP="002A7C83">
      <w:pPr>
        <w:pStyle w:val="ListParagraph"/>
        <w:numPr>
          <w:ilvl w:val="1"/>
          <w:numId w:val="11"/>
        </w:numPr>
      </w:pPr>
      <w:r w:rsidRPr="002A7C83">
        <w:rPr>
          <w:i/>
        </w:rPr>
        <w:t xml:space="preserve">Surviving Provisions in the Event of Termination. </w:t>
      </w:r>
      <w:r w:rsidRPr="002A7C83">
        <w:t>In the event of termination of this Agreement, only those provisions that have been identified herein to survive termination, and specifically the obligations of Data User under Section 3, shall remain in effect after such termination.</w:t>
      </w:r>
    </w:p>
    <w:p w14:paraId="4C0FF7C2" w14:textId="59E39D4A" w:rsidR="002A7C83" w:rsidRPr="002A7C83" w:rsidRDefault="002A7C83" w:rsidP="002A7C83">
      <w:pPr>
        <w:pStyle w:val="ListParagraph"/>
        <w:numPr>
          <w:ilvl w:val="1"/>
          <w:numId w:val="11"/>
        </w:numPr>
      </w:pPr>
      <w:r w:rsidRPr="002A7C83">
        <w:rPr>
          <w:i/>
        </w:rPr>
        <w:t>Notices</w:t>
      </w:r>
      <w:r w:rsidRPr="002A7C83">
        <w:t>. All notices, demands, and other communications hereunder, except exchanges of technical information and invoices for services rendered, shall be delivered personally to the party hereto which it is addressed or mailed to such party by registered or certified mail, return receipt requested, with postage hereon fully prepaid at the following addresses, unless otherwise subsequently modified by change of address in writing:</w:t>
      </w:r>
    </w:p>
    <w:p w14:paraId="27352FBB" w14:textId="77777777" w:rsidR="00CB1B21" w:rsidRDefault="00CB1B21" w:rsidP="00CB1B21">
      <w:pPr>
        <w:pStyle w:val="BodyTextIndent"/>
        <w:tabs>
          <w:tab w:val="left" w:pos="4320"/>
          <w:tab w:val="right" w:pos="9000"/>
        </w:tabs>
        <w:spacing w:after="0"/>
        <w:ind w:left="2160"/>
        <w:rPr>
          <w:u w:val="single"/>
        </w:rPr>
      </w:pPr>
      <w:r w:rsidRPr="00F345C1">
        <w:t xml:space="preserve">If to </w:t>
      </w:r>
      <w:r>
        <w:t>Data User</w:t>
      </w:r>
      <w:r w:rsidRPr="00F345C1">
        <w:t>:</w:t>
      </w:r>
      <w:r>
        <w:tab/>
      </w:r>
      <w:r w:rsidRPr="003C49AE">
        <w:rPr>
          <w:highlight w:val="yellow"/>
        </w:rPr>
        <w:t>Data User</w:t>
      </w:r>
      <w:r>
        <w:t xml:space="preserve"> </w:t>
      </w:r>
      <w:r w:rsidRPr="000176B3">
        <w:rPr>
          <w:u w:val="single"/>
        </w:rPr>
        <w:tab/>
      </w:r>
    </w:p>
    <w:p w14:paraId="3E74DAF2" w14:textId="77777777" w:rsidR="00CB1B21" w:rsidRDefault="00CB1B21" w:rsidP="00CB1B21">
      <w:pPr>
        <w:pStyle w:val="BodyTextIndent"/>
        <w:tabs>
          <w:tab w:val="left" w:pos="4320"/>
          <w:tab w:val="right" w:pos="9000"/>
        </w:tabs>
        <w:spacing w:after="0"/>
        <w:ind w:left="2160"/>
      </w:pPr>
      <w:r w:rsidRPr="000176B3">
        <w:tab/>
      </w:r>
      <w:r w:rsidRPr="003C49AE">
        <w:rPr>
          <w:highlight w:val="yellow"/>
        </w:rPr>
        <w:t>Name</w:t>
      </w:r>
      <w:r>
        <w:t xml:space="preserve"> </w:t>
      </w:r>
      <w:r w:rsidRPr="000176B3">
        <w:rPr>
          <w:u w:val="single"/>
        </w:rPr>
        <w:tab/>
      </w:r>
    </w:p>
    <w:p w14:paraId="240050BB" w14:textId="77777777" w:rsidR="00CB1B21" w:rsidRDefault="00CB1B21" w:rsidP="00CB1B21">
      <w:pPr>
        <w:pStyle w:val="BodyTextIndent"/>
        <w:tabs>
          <w:tab w:val="left" w:pos="4320"/>
          <w:tab w:val="right" w:pos="9000"/>
        </w:tabs>
        <w:spacing w:after="0"/>
        <w:ind w:left="2160"/>
      </w:pPr>
      <w:r>
        <w:tab/>
      </w:r>
      <w:r w:rsidRPr="003C49AE">
        <w:rPr>
          <w:highlight w:val="yellow"/>
        </w:rPr>
        <w:t>Title</w:t>
      </w:r>
      <w:r>
        <w:t xml:space="preserve"> </w:t>
      </w:r>
      <w:r w:rsidRPr="000176B3">
        <w:rPr>
          <w:u w:val="single"/>
        </w:rPr>
        <w:tab/>
      </w:r>
    </w:p>
    <w:p w14:paraId="3B25CF1B" w14:textId="77777777" w:rsidR="00CB1B21" w:rsidRPr="000176B3" w:rsidRDefault="00CB1B21" w:rsidP="00CB1B21">
      <w:pPr>
        <w:pStyle w:val="BodyTextIndent"/>
        <w:tabs>
          <w:tab w:val="left" w:pos="4320"/>
          <w:tab w:val="right" w:pos="9000"/>
        </w:tabs>
        <w:spacing w:after="0"/>
        <w:ind w:left="2160"/>
      </w:pPr>
      <w:r>
        <w:tab/>
      </w:r>
      <w:r w:rsidRPr="003C49AE">
        <w:rPr>
          <w:highlight w:val="yellow"/>
        </w:rPr>
        <w:t>Address</w:t>
      </w:r>
      <w:r>
        <w:t xml:space="preserve"> </w:t>
      </w:r>
      <w:r w:rsidRPr="000176B3">
        <w:rPr>
          <w:u w:val="single"/>
        </w:rPr>
        <w:tab/>
      </w:r>
    </w:p>
    <w:p w14:paraId="348708FD" w14:textId="77777777" w:rsidR="00CB1B21" w:rsidRDefault="00CB1B21" w:rsidP="00CB1B21">
      <w:pPr>
        <w:pStyle w:val="BodyTextIndent"/>
        <w:spacing w:after="0"/>
        <w:ind w:left="1440" w:hanging="720"/>
      </w:pPr>
    </w:p>
    <w:p w14:paraId="3B70A502" w14:textId="77777777" w:rsidR="00CB1B21" w:rsidRDefault="00CB1B21" w:rsidP="00CB1B21">
      <w:pPr>
        <w:pStyle w:val="BodyTextIndent"/>
        <w:tabs>
          <w:tab w:val="left" w:pos="4320"/>
          <w:tab w:val="right" w:pos="9000"/>
        </w:tabs>
        <w:spacing w:after="0"/>
        <w:ind w:left="2160"/>
        <w:rPr>
          <w:u w:val="single"/>
        </w:rPr>
      </w:pPr>
      <w:r w:rsidRPr="00F345C1">
        <w:t>With a copy to:</w:t>
      </w:r>
    </w:p>
    <w:p w14:paraId="6B77020F" w14:textId="77777777" w:rsidR="00CB1B21" w:rsidRDefault="00CB1B21" w:rsidP="00CB1B21">
      <w:pPr>
        <w:pStyle w:val="BodyTextIndent"/>
        <w:tabs>
          <w:tab w:val="left" w:pos="4320"/>
          <w:tab w:val="right" w:pos="9000"/>
        </w:tabs>
        <w:spacing w:after="0"/>
        <w:ind w:left="2160"/>
      </w:pPr>
      <w:r w:rsidRPr="000176B3">
        <w:tab/>
      </w:r>
      <w:r>
        <w:t xml:space="preserve">Name </w:t>
      </w:r>
      <w:r w:rsidRPr="000176B3">
        <w:rPr>
          <w:u w:val="single"/>
        </w:rPr>
        <w:tab/>
      </w:r>
    </w:p>
    <w:p w14:paraId="4F96EC77" w14:textId="77777777" w:rsidR="00CB1B21" w:rsidRDefault="00CB1B21" w:rsidP="00CB1B21">
      <w:pPr>
        <w:pStyle w:val="BodyTextIndent"/>
        <w:tabs>
          <w:tab w:val="left" w:pos="4320"/>
          <w:tab w:val="right" w:pos="9000"/>
        </w:tabs>
        <w:spacing w:after="0"/>
        <w:ind w:left="2160"/>
      </w:pPr>
      <w:r>
        <w:tab/>
        <w:t xml:space="preserve">Title </w:t>
      </w:r>
      <w:r w:rsidRPr="000176B3">
        <w:rPr>
          <w:u w:val="single"/>
        </w:rPr>
        <w:tab/>
      </w:r>
    </w:p>
    <w:p w14:paraId="6BFA642C" w14:textId="77777777" w:rsidR="00CB1B21" w:rsidRPr="000176B3" w:rsidRDefault="00CB1B21" w:rsidP="00CB1B21">
      <w:pPr>
        <w:pStyle w:val="BodyTextIndent"/>
        <w:tabs>
          <w:tab w:val="left" w:pos="4320"/>
          <w:tab w:val="right" w:pos="9000"/>
        </w:tabs>
        <w:spacing w:after="0"/>
        <w:ind w:left="2160"/>
      </w:pPr>
      <w:r>
        <w:tab/>
        <w:t xml:space="preserve">Address </w:t>
      </w:r>
      <w:r w:rsidRPr="000176B3">
        <w:rPr>
          <w:u w:val="single"/>
        </w:rPr>
        <w:tab/>
      </w:r>
    </w:p>
    <w:p w14:paraId="7FE1EF1B" w14:textId="77777777" w:rsidR="00CB1B21" w:rsidRDefault="00CB1B21" w:rsidP="00CB1B21">
      <w:pPr>
        <w:pStyle w:val="BodyTextIndent"/>
        <w:spacing w:after="0"/>
        <w:ind w:left="1440" w:hanging="720"/>
      </w:pPr>
    </w:p>
    <w:p w14:paraId="199EDA38" w14:textId="77777777" w:rsidR="00CB1B21" w:rsidRDefault="00CB1B21" w:rsidP="00CB1B21">
      <w:pPr>
        <w:pStyle w:val="BodyTextIndent"/>
        <w:tabs>
          <w:tab w:val="left" w:pos="4320"/>
          <w:tab w:val="right" w:pos="9000"/>
        </w:tabs>
        <w:spacing w:after="0"/>
        <w:ind w:left="2160"/>
        <w:rPr>
          <w:u w:val="single"/>
        </w:rPr>
      </w:pPr>
      <w:r w:rsidRPr="00F345C1">
        <w:t xml:space="preserve">If to </w:t>
      </w:r>
      <w:r>
        <w:t>TBINDSC</w:t>
      </w:r>
      <w:r w:rsidRPr="00F345C1">
        <w:t>:</w:t>
      </w:r>
    </w:p>
    <w:p w14:paraId="7E26501C" w14:textId="77777777" w:rsidR="00CB1B21" w:rsidRPr="003C49AE" w:rsidRDefault="00CB1B21" w:rsidP="00CB1B21">
      <w:pPr>
        <w:pStyle w:val="BodyTextIndent"/>
        <w:tabs>
          <w:tab w:val="left" w:pos="4320"/>
          <w:tab w:val="right" w:pos="9000"/>
        </w:tabs>
        <w:spacing w:after="0"/>
        <w:ind w:left="2160"/>
      </w:pPr>
      <w:r w:rsidRPr="000176B3">
        <w:tab/>
      </w:r>
      <w:r>
        <w:t xml:space="preserve">The Project </w:t>
      </w:r>
      <w:r w:rsidRPr="00F345C1">
        <w:t>Director</w:t>
      </w:r>
      <w:r>
        <w:t>, TBINDSC</w:t>
      </w:r>
    </w:p>
    <w:p w14:paraId="1EDC441A" w14:textId="77777777" w:rsidR="00CB1B21" w:rsidRDefault="00CB1B21" w:rsidP="00CB1B21">
      <w:pPr>
        <w:pStyle w:val="BodyTextIndent"/>
        <w:tabs>
          <w:tab w:val="left" w:pos="4320"/>
          <w:tab w:val="right" w:pos="9000"/>
        </w:tabs>
        <w:spacing w:after="0"/>
        <w:ind w:left="2160"/>
      </w:pPr>
      <w:r>
        <w:tab/>
      </w:r>
      <w:r w:rsidRPr="00F345C1">
        <w:t>Craig Hospital</w:t>
      </w:r>
    </w:p>
    <w:p w14:paraId="032D4BBA" w14:textId="77777777" w:rsidR="00CB1B21" w:rsidRDefault="00CB1B21" w:rsidP="00CB1B21">
      <w:pPr>
        <w:pStyle w:val="BodyTextIndent"/>
        <w:tabs>
          <w:tab w:val="left" w:pos="4320"/>
          <w:tab w:val="right" w:pos="9000"/>
        </w:tabs>
        <w:spacing w:after="0"/>
        <w:ind w:left="2160"/>
      </w:pPr>
      <w:r>
        <w:tab/>
      </w:r>
      <w:r w:rsidRPr="00F345C1">
        <w:t>3425 S Clarkson St</w:t>
      </w:r>
    </w:p>
    <w:p w14:paraId="7BBECD79" w14:textId="77777777" w:rsidR="00CB1B21" w:rsidRPr="000176B3" w:rsidRDefault="00CB1B21" w:rsidP="00CB1B21">
      <w:pPr>
        <w:pStyle w:val="BodyTextIndent"/>
        <w:tabs>
          <w:tab w:val="left" w:pos="4320"/>
          <w:tab w:val="right" w:pos="9000"/>
        </w:tabs>
        <w:spacing w:after="0"/>
        <w:ind w:left="2160"/>
      </w:pPr>
      <w:r>
        <w:tab/>
      </w:r>
      <w:r w:rsidRPr="00F345C1">
        <w:t>Englewood, CO 80113</w:t>
      </w:r>
    </w:p>
    <w:p w14:paraId="61DD8FEC" w14:textId="77777777" w:rsidR="00CB1B21" w:rsidRDefault="00CB1B21" w:rsidP="00CB1B21">
      <w:pPr>
        <w:pStyle w:val="BodyTextIndent"/>
        <w:spacing w:after="0"/>
        <w:ind w:left="1440" w:hanging="720"/>
      </w:pPr>
    </w:p>
    <w:p w14:paraId="0BE72FF9" w14:textId="28C687A8" w:rsidR="00CB1B21" w:rsidRPr="0094183D" w:rsidRDefault="00CB1B21" w:rsidP="002A7C83">
      <w:r w:rsidRPr="00F345C1">
        <w:t>Any notices, demands, and other communications delivered personally shall be deemed to have been received by addressee at the time and date of its delivery.</w:t>
      </w:r>
      <w:r w:rsidR="00422AD3">
        <w:t xml:space="preserve"> </w:t>
      </w:r>
      <w:r w:rsidRPr="00F345C1">
        <w:t>Any notices, demands, and other communications so mailed shall be deemed to have been received by the addressee seven (7) days after the time and date of its being mailed.</w:t>
      </w:r>
    </w:p>
    <w:p w14:paraId="7F3E496A" w14:textId="77777777" w:rsidR="00CB1B21" w:rsidRPr="0094183D" w:rsidRDefault="00CB1B21" w:rsidP="00CB1B21">
      <w:pPr>
        <w:pStyle w:val="BodyText"/>
      </w:pPr>
      <w:r w:rsidRPr="0094183D">
        <w:rPr>
          <w:b/>
          <w:bCs/>
        </w:rPr>
        <w:lastRenderedPageBreak/>
        <w:t>IN WITNESS WHEREOF</w:t>
      </w:r>
      <w:r w:rsidRPr="0094183D">
        <w:t>, the parties hereto have duly executed this Agreement as of the Agreement Effective Date.</w:t>
      </w:r>
    </w:p>
    <w:p w14:paraId="13937713" w14:textId="77777777" w:rsidR="00CB1B21" w:rsidRPr="0094183D" w:rsidRDefault="00CB1B21" w:rsidP="00CB1B21"/>
    <w:p w14:paraId="1B4BC848" w14:textId="072B1AA5" w:rsidR="00CB1B21" w:rsidRDefault="00CB1B21" w:rsidP="00F71891">
      <w:pPr>
        <w:tabs>
          <w:tab w:val="left" w:pos="5040"/>
        </w:tabs>
        <w:spacing w:after="0"/>
      </w:pPr>
      <w:r>
        <w:t>Traumatic Brain Injury Model Systems</w:t>
      </w:r>
      <w:r>
        <w:tab/>
      </w:r>
      <w:r>
        <w:rPr>
          <w:b/>
        </w:rPr>
        <w:t>[</w:t>
      </w:r>
      <w:r w:rsidRPr="00AE7246">
        <w:rPr>
          <w:b/>
          <w:highlight w:val="yellow"/>
        </w:rPr>
        <w:t>name of TBI Model System</w:t>
      </w:r>
      <w:r>
        <w:rPr>
          <w:b/>
        </w:rPr>
        <w:t>]</w:t>
      </w:r>
    </w:p>
    <w:p w14:paraId="454F245C" w14:textId="1836BE31" w:rsidR="00CB1B21" w:rsidRDefault="00CB1B21" w:rsidP="00F71891">
      <w:pPr>
        <w:spacing w:after="0"/>
      </w:pPr>
      <w:r>
        <w:t>National Data and Statistical Center</w:t>
      </w:r>
    </w:p>
    <w:p w14:paraId="0832ABBA" w14:textId="77777777" w:rsidR="00CB1B21" w:rsidRPr="0094183D" w:rsidRDefault="00CB1B21" w:rsidP="00CB1B21">
      <w:r>
        <w:t>At Craig Hospital</w:t>
      </w:r>
    </w:p>
    <w:p w14:paraId="1AF2AAEE" w14:textId="77777777" w:rsidR="00CB1B21" w:rsidRDefault="00CB1B21" w:rsidP="00CB1B21"/>
    <w:p w14:paraId="6A943451" w14:textId="77777777" w:rsidR="00CB1B21" w:rsidRPr="0094183D" w:rsidRDefault="00CB1B21" w:rsidP="00CB1B21"/>
    <w:p w14:paraId="52A7E8AF" w14:textId="2DDA971A" w:rsidR="00CB1B21" w:rsidRPr="0094183D" w:rsidRDefault="00CB1B21" w:rsidP="00CB1B21">
      <w:pPr>
        <w:tabs>
          <w:tab w:val="left" w:pos="5040"/>
          <w:tab w:val="right" w:pos="9000"/>
        </w:tabs>
      </w:pPr>
      <w:r w:rsidRPr="0094183D">
        <w:t>________________________________</w:t>
      </w:r>
      <w:r>
        <w:tab/>
      </w:r>
      <w:r w:rsidRPr="003C49AE">
        <w:rPr>
          <w:u w:val="single"/>
        </w:rPr>
        <w:tab/>
      </w:r>
    </w:p>
    <w:p w14:paraId="0E965293" w14:textId="2FA536A7" w:rsidR="00CB1B21" w:rsidRDefault="00CB1B21" w:rsidP="00F71891">
      <w:pPr>
        <w:tabs>
          <w:tab w:val="left" w:pos="5040"/>
        </w:tabs>
        <w:spacing w:after="0"/>
      </w:pPr>
      <w:r>
        <w:t>Project Director</w:t>
      </w:r>
      <w:r>
        <w:tab/>
      </w:r>
      <w:r w:rsidRPr="003C49AE">
        <w:rPr>
          <w:b/>
        </w:rPr>
        <w:t>[</w:t>
      </w:r>
      <w:r w:rsidRPr="00DD2EDF">
        <w:rPr>
          <w:b/>
          <w:highlight w:val="yellow"/>
        </w:rPr>
        <w:t xml:space="preserve">Name of </w:t>
      </w:r>
      <w:r w:rsidR="00435807" w:rsidRPr="00DD2EDF">
        <w:rPr>
          <w:b/>
          <w:highlight w:val="yellow"/>
        </w:rPr>
        <w:t>TBIMS Project Director</w:t>
      </w:r>
      <w:r w:rsidRPr="003C49AE">
        <w:rPr>
          <w:b/>
        </w:rPr>
        <w:t>]</w:t>
      </w:r>
    </w:p>
    <w:p w14:paraId="37EA9271" w14:textId="702E8180" w:rsidR="00CB1B21" w:rsidRDefault="00CB1B21" w:rsidP="00F71891">
      <w:pPr>
        <w:tabs>
          <w:tab w:val="left" w:pos="5040"/>
        </w:tabs>
        <w:spacing w:after="0"/>
      </w:pPr>
      <w:r>
        <w:t>Traumatic Brain Injury Model Systems</w:t>
      </w:r>
      <w:r>
        <w:tab/>
      </w:r>
      <w:r w:rsidRPr="003C49AE">
        <w:rPr>
          <w:b/>
        </w:rPr>
        <w:t>[</w:t>
      </w:r>
      <w:r w:rsidRPr="00DD2EDF">
        <w:rPr>
          <w:b/>
          <w:highlight w:val="yellow"/>
        </w:rPr>
        <w:t xml:space="preserve">Title of </w:t>
      </w:r>
      <w:r w:rsidR="00435807" w:rsidRPr="00DD2EDF">
        <w:rPr>
          <w:b/>
          <w:highlight w:val="yellow"/>
        </w:rPr>
        <w:t>TBIMS Project Director</w:t>
      </w:r>
      <w:r w:rsidRPr="003C49AE">
        <w:rPr>
          <w:b/>
        </w:rPr>
        <w:t>]</w:t>
      </w:r>
    </w:p>
    <w:p w14:paraId="3D00C601" w14:textId="77777777" w:rsidR="00CB1B21" w:rsidRDefault="00CB1B21" w:rsidP="00F71891">
      <w:pPr>
        <w:spacing w:after="0"/>
      </w:pPr>
      <w:r>
        <w:t>National Data and Statistical Center</w:t>
      </w:r>
    </w:p>
    <w:p w14:paraId="61B8DCBE" w14:textId="77777777" w:rsidR="00CB1B21" w:rsidRPr="003C49AE" w:rsidRDefault="00CB1B21" w:rsidP="00CB1B21">
      <w:r>
        <w:t>Craig Hospital</w:t>
      </w:r>
    </w:p>
    <w:sectPr w:rsidR="00CB1B21" w:rsidRPr="003C49AE" w:rsidSect="00572FC0">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9347" w14:textId="77777777" w:rsidR="00A167C8" w:rsidRDefault="00A167C8">
      <w:r>
        <w:separator/>
      </w:r>
    </w:p>
  </w:endnote>
  <w:endnote w:type="continuationSeparator" w:id="0">
    <w:p w14:paraId="5C19170E" w14:textId="77777777" w:rsidR="00A167C8" w:rsidRDefault="00A1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4586" w14:textId="1DA3AED2" w:rsidR="003924C9" w:rsidRPr="00474FAD" w:rsidRDefault="00474FAD" w:rsidP="00C81855">
    <w:pPr>
      <w:pStyle w:val="Footer"/>
      <w:jc w:val="right"/>
    </w:pPr>
    <w:r w:rsidRPr="00474FAD">
      <w:t xml:space="preserve">Page </w:t>
    </w:r>
    <w:r w:rsidRPr="00474FAD">
      <w:fldChar w:fldCharType="begin"/>
    </w:r>
    <w:r w:rsidRPr="00474FAD">
      <w:instrText xml:space="preserve"> PAGE  \* Arabic  \* MERGEFORMAT </w:instrText>
    </w:r>
    <w:r w:rsidRPr="00474FAD">
      <w:fldChar w:fldCharType="separate"/>
    </w:r>
    <w:r w:rsidRPr="00474FAD">
      <w:rPr>
        <w:noProof/>
      </w:rPr>
      <w:t>1</w:t>
    </w:r>
    <w:r w:rsidRPr="00474FAD">
      <w:fldChar w:fldCharType="end"/>
    </w:r>
    <w:r w:rsidRPr="00474FAD">
      <w:t xml:space="preserve"> of </w:t>
    </w:r>
    <w:fldSimple w:instr=" NUMPAGES  \* Arabic  \* MERGEFORMAT ">
      <w:r w:rsidRPr="00474FA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FBA7D" w14:textId="77777777" w:rsidR="00A167C8" w:rsidRDefault="00A167C8">
      <w:r>
        <w:separator/>
      </w:r>
    </w:p>
  </w:footnote>
  <w:footnote w:type="continuationSeparator" w:id="0">
    <w:p w14:paraId="39265BF1" w14:textId="77777777" w:rsidR="00A167C8" w:rsidRDefault="00A16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3CEB" w14:textId="2223E229" w:rsidR="007043F2" w:rsidRDefault="008E4B47" w:rsidP="001462F7">
    <w:pPr>
      <w:ind w:right="-720"/>
      <w:jc w:val="center"/>
    </w:pPr>
    <w:r>
      <w:rPr>
        <w:noProof/>
      </w:rPr>
      <mc:AlternateContent>
        <mc:Choice Requires="wps">
          <w:drawing>
            <wp:anchor distT="0" distB="0" distL="114300" distR="114300" simplePos="0" relativeHeight="251667968" behindDoc="0" locked="0" layoutInCell="1" allowOverlap="1" wp14:anchorId="10E36CFF" wp14:editId="0DFE4631">
              <wp:simplePos x="0" y="0"/>
              <wp:positionH relativeFrom="column">
                <wp:posOffset>1285875</wp:posOffset>
              </wp:positionH>
              <wp:positionV relativeFrom="paragraph">
                <wp:posOffset>-200025</wp:posOffset>
              </wp:positionV>
              <wp:extent cx="5343525" cy="65913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5343525" cy="659130"/>
                      </a:xfrm>
                      <a:prstGeom prst="rect">
                        <a:avLst/>
                      </a:prstGeom>
                      <a:noFill/>
                      <a:ln w="6350">
                        <a:noFill/>
                      </a:ln>
                    </wps:spPr>
                    <wps:txbx>
                      <w:txbxContent>
                        <w:p w14:paraId="6A4A97EA" w14:textId="292E3102" w:rsidR="008E4B47" w:rsidRPr="00D339B5" w:rsidRDefault="008075E2" w:rsidP="008075E2">
                          <w:pPr>
                            <w:spacing w:after="0"/>
                            <w:jc w:val="center"/>
                            <w:rPr>
                              <w:b/>
                              <w:color w:val="FFFFFF" w:themeColor="background1"/>
                              <w:sz w:val="32"/>
                              <w:szCs w:val="32"/>
                              <w14:textFill>
                                <w14:noFill/>
                              </w14:textFill>
                            </w:rPr>
                          </w:pPr>
                          <w:r>
                            <w:rPr>
                              <w:b/>
                              <w:color w:val="17365D" w:themeColor="text2" w:themeShade="BF"/>
                              <w:sz w:val="32"/>
                              <w:szCs w:val="32"/>
                            </w:rPr>
                            <w:t xml:space="preserve">TBIMS Project Director Request for National Database </w:t>
                          </w:r>
                          <w:r w:rsidR="008E4B47">
                            <w:rPr>
                              <w:b/>
                              <w:color w:val="17365D" w:themeColor="text2" w:themeShade="BF"/>
                              <w:sz w:val="32"/>
                              <w:szCs w:val="32"/>
                            </w:rPr>
                            <w:t>FORM</w:t>
                          </w:r>
                          <w:r>
                            <w:rPr>
                              <w:b/>
                              <w:color w:val="17365D" w:themeColor="text2" w:themeShade="BF"/>
                              <w:sz w:val="32"/>
                              <w:szCs w:val="32"/>
                            </w:rPr>
                            <w:t xml:space="preserve"> and DATA USE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36CFF" id="_x0000_t202" coordsize="21600,21600" o:spt="202" path="m,l,21600r21600,l21600,xe">
              <v:stroke joinstyle="miter"/>
              <v:path gradientshapeok="t" o:connecttype="rect"/>
            </v:shapetype>
            <v:shape id="Text Box 7" o:spid="_x0000_s1026" type="#_x0000_t202" style="position:absolute;left:0;text-align:left;margin-left:101.25pt;margin-top:-15.75pt;width:420.75pt;height:51.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" filled="f" stroked="f" strokeweight=".5pt">
              <v:textbox>
                <w:txbxContent>
                  <w:p w14:paraId="6A4A97EA" w14:textId="292E3102" w:rsidR="008E4B47" w:rsidRPr="00D339B5" w:rsidRDefault="008075E2" w:rsidP="008075E2">
                    <w:pPr>
                      <w:spacing w:after="0"/>
                      <w:jc w:val="center"/>
                      <w:rPr>
                        <w:b/>
                        <w:color w:val="FFFFFF" w:themeColor="background1"/>
                        <w:sz w:val="32"/>
                        <w:szCs w:val="32"/>
                        <w14:textFill>
                          <w14:noFill/>
                        </w14:textFill>
                      </w:rPr>
                    </w:pPr>
                    <w:r>
                      <w:rPr>
                        <w:b/>
                        <w:color w:val="17365D" w:themeColor="text2" w:themeShade="BF"/>
                        <w:sz w:val="32"/>
                        <w:szCs w:val="32"/>
                      </w:rPr>
                      <w:t xml:space="preserve">TBIMS Project Director Request for National Database </w:t>
                    </w:r>
                    <w:r w:rsidR="008E4B47">
                      <w:rPr>
                        <w:b/>
                        <w:color w:val="17365D" w:themeColor="text2" w:themeShade="BF"/>
                        <w:sz w:val="32"/>
                        <w:szCs w:val="32"/>
                      </w:rPr>
                      <w:t>FORM</w:t>
                    </w:r>
                    <w:r>
                      <w:rPr>
                        <w:b/>
                        <w:color w:val="17365D" w:themeColor="text2" w:themeShade="BF"/>
                        <w:sz w:val="32"/>
                        <w:szCs w:val="32"/>
                      </w:rPr>
                      <w:t xml:space="preserve"> and DATA USE AGREEMENT</w:t>
                    </w:r>
                  </w:p>
                </w:txbxContent>
              </v:textbox>
            </v:shape>
          </w:pict>
        </mc:Fallback>
      </mc:AlternateContent>
    </w:r>
    <w:r w:rsidR="007043F2">
      <w:rPr>
        <w:noProof/>
      </w:rPr>
      <mc:AlternateContent>
        <mc:Choice Requires="wps">
          <w:drawing>
            <wp:anchor distT="0" distB="0" distL="114300" distR="114300" simplePos="0" relativeHeight="251666944" behindDoc="0" locked="0" layoutInCell="1" allowOverlap="1" wp14:anchorId="19BCDC84" wp14:editId="698BC6D8">
              <wp:simplePos x="0" y="0"/>
              <wp:positionH relativeFrom="page">
                <wp:align>right</wp:align>
              </wp:positionH>
              <wp:positionV relativeFrom="paragraph">
                <wp:posOffset>-495158</wp:posOffset>
              </wp:positionV>
              <wp:extent cx="8621486" cy="1000125"/>
              <wp:effectExtent l="0" t="0" r="8255" b="9525"/>
              <wp:wrapNone/>
              <wp:docPr id="5" name="Rectangle 5"/>
              <wp:cNvGraphicFramePr/>
              <a:graphic xmlns:a="http://schemas.openxmlformats.org/drawingml/2006/main">
                <a:graphicData uri="http://schemas.microsoft.com/office/word/2010/wordprocessingShape">
                  <wps:wsp>
                    <wps:cNvSpPr/>
                    <wps:spPr>
                      <a:xfrm>
                        <a:off x="0" y="0"/>
                        <a:ext cx="8621486" cy="1000125"/>
                      </a:xfrm>
                      <a:prstGeom prst="rect">
                        <a:avLst/>
                      </a:prstGeom>
                      <a:gradFill flip="none" rotWithShape="1">
                        <a:gsLst>
                          <a:gs pos="0">
                            <a:srgbClr val="6789AE">
                              <a:tint val="66000"/>
                              <a:satMod val="160000"/>
                            </a:srgbClr>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B08499" w14:textId="77777777" w:rsidR="007043F2" w:rsidRPr="00C42811" w:rsidRDefault="007043F2"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Pr>
                              <w:noProof/>
                            </w:rPr>
                            <w:drawing>
                              <wp:inline distT="0" distB="0" distL="0" distR="0" wp14:anchorId="4E8EEEED" wp14:editId="5C70EACA">
                                <wp:extent cx="1797685" cy="897767"/>
                                <wp:effectExtent l="0" t="0" r="0" b="0"/>
                                <wp:docPr id="1" name="Picture 1" descr="cid:image002.png@01D83DEB.7310A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3DEB.7310A8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8989" cy="9383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CDC84" id="Rectangle 5" o:spid="_x0000_s1027" style="position:absolute;left:0;text-align:left;margin-left:627.65pt;margin-top:-39pt;width:678.85pt;height:78.75pt;z-index:2516669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" fillcolor="#a6bbd8" stroked="f" strokeweight="2pt">
              <v:fill color2="white [3212]" rotate="t" angle="270" focus="100%" type="gradient"/>
              <v:textbox>
                <w:txbxContent>
                  <w:p w14:paraId="45B08499" w14:textId="77777777" w:rsidR="007043F2" w:rsidRPr="00C42811" w:rsidRDefault="007043F2"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Pr>
                        <w:noProof/>
                      </w:rPr>
                      <w:drawing>
                        <wp:inline distT="0" distB="0" distL="0" distR="0" wp14:anchorId="4E8EEEED" wp14:editId="5C70EACA">
                          <wp:extent cx="1797685" cy="897767"/>
                          <wp:effectExtent l="0" t="0" r="0" b="0"/>
                          <wp:docPr id="1" name="Picture 1" descr="cid:image002.png@01D83DEB.7310A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3DEB.7310A8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8989" cy="938370"/>
                                  </a:xfrm>
                                  <a:prstGeom prst="rect">
                                    <a:avLst/>
                                  </a:prstGeom>
                                  <a:noFill/>
                                  <a:ln>
                                    <a:noFill/>
                                  </a:ln>
                                </pic:spPr>
                              </pic:pic>
                            </a:graphicData>
                          </a:graphic>
                        </wp:inline>
                      </w:drawing>
                    </w:r>
                  </w:p>
                </w:txbxContent>
              </v:textbox>
              <w10:wrap anchorx="page"/>
            </v:rect>
          </w:pict>
        </mc:Fallback>
      </mc:AlternateContent>
    </w:r>
  </w:p>
  <w:p w14:paraId="68F6F470" w14:textId="77777777" w:rsidR="007043F2" w:rsidRPr="001462F7" w:rsidRDefault="007043F2" w:rsidP="001462F7">
    <w:pPr>
      <w:pStyle w:val="Header"/>
    </w:pPr>
    <w:r>
      <w:t>Craig Hospital</w:t>
    </w:r>
  </w:p>
  <w:p w14:paraId="6E9EBD08" w14:textId="77777777" w:rsidR="00870B69" w:rsidRDefault="00870B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20E4"/>
    <w:multiLevelType w:val="hybridMultilevel"/>
    <w:tmpl w:val="D4CC3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82C6B"/>
    <w:multiLevelType w:val="hybridMultilevel"/>
    <w:tmpl w:val="900A6F9E"/>
    <w:lvl w:ilvl="0" w:tplc="B18CBB86">
      <w:start w:val="1"/>
      <w:numFmt w:val="lowerLetter"/>
      <w:lvlText w:val="%1."/>
      <w:lvlJc w:val="left"/>
      <w:pPr>
        <w:tabs>
          <w:tab w:val="num" w:pos="1440"/>
        </w:tabs>
        <w:ind w:left="1440" w:hanging="720"/>
      </w:pPr>
      <w:rPr>
        <w:rFonts w:hint="default"/>
      </w:rPr>
    </w:lvl>
    <w:lvl w:ilvl="1" w:tplc="5E8A2B9E">
      <w:start w:val="2"/>
      <w:numFmt w:val="lowerLetter"/>
      <w:lvlText w:val="%2."/>
      <w:lvlJc w:val="left"/>
      <w:pPr>
        <w:tabs>
          <w:tab w:val="num" w:pos="1080"/>
        </w:tabs>
        <w:ind w:left="1080" w:hanging="360"/>
      </w:pPr>
      <w:rPr>
        <w:rFonts w:hint="default"/>
      </w:rPr>
    </w:lvl>
    <w:lvl w:ilvl="2" w:tplc="2C4A95FC">
      <w:start w:val="1"/>
      <w:numFmt w:val="decimal"/>
      <w:lvlText w:val="(%3)"/>
      <w:lvlJc w:val="left"/>
      <w:pPr>
        <w:tabs>
          <w:tab w:val="num" w:pos="2700"/>
        </w:tabs>
        <w:ind w:left="2700" w:hanging="360"/>
      </w:pPr>
      <w:rPr>
        <w:rFonts w:hint="default"/>
      </w:rPr>
    </w:lvl>
    <w:lvl w:ilvl="3" w:tplc="CD9ECDC6">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DF4219"/>
    <w:multiLevelType w:val="hybridMultilevel"/>
    <w:tmpl w:val="DEE8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97C"/>
    <w:multiLevelType w:val="hybridMultilevel"/>
    <w:tmpl w:val="AF7A4C9A"/>
    <w:lvl w:ilvl="0" w:tplc="952C5D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407125"/>
    <w:multiLevelType w:val="hybridMultilevel"/>
    <w:tmpl w:val="B002C08C"/>
    <w:lvl w:ilvl="0" w:tplc="B05AF5DC">
      <w:start w:val="1"/>
      <w:numFmt w:val="decimal"/>
      <w:lvlText w:val="%1."/>
      <w:lvlJc w:val="left"/>
      <w:pPr>
        <w:ind w:left="720" w:hanging="360"/>
      </w:pPr>
      <w:rPr>
        <w:rFonts w:cs="Times New Roman"/>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D0502"/>
    <w:multiLevelType w:val="hybridMultilevel"/>
    <w:tmpl w:val="47B44C26"/>
    <w:lvl w:ilvl="0" w:tplc="B18CBB8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080"/>
        </w:tabs>
        <w:ind w:left="1080" w:hanging="360"/>
      </w:pPr>
    </w:lvl>
    <w:lvl w:ilvl="2" w:tplc="2C4A95FC">
      <w:start w:val="1"/>
      <w:numFmt w:val="decimal"/>
      <w:lvlText w:val="(%3)"/>
      <w:lvlJc w:val="left"/>
      <w:pPr>
        <w:tabs>
          <w:tab w:val="num" w:pos="2700"/>
        </w:tabs>
        <w:ind w:left="2700" w:hanging="360"/>
      </w:pPr>
      <w:rPr>
        <w:rFonts w:hint="default"/>
      </w:rPr>
    </w:lvl>
    <w:lvl w:ilvl="3" w:tplc="CD9ECDC6">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CC34E7E"/>
    <w:multiLevelType w:val="hybridMultilevel"/>
    <w:tmpl w:val="EFB6D87E"/>
    <w:lvl w:ilvl="0" w:tplc="BA64FC7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D2746DB"/>
    <w:multiLevelType w:val="multilevel"/>
    <w:tmpl w:val="FF10CB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7305F1"/>
    <w:multiLevelType w:val="hybridMultilevel"/>
    <w:tmpl w:val="085CF760"/>
    <w:lvl w:ilvl="0" w:tplc="E85A5A86">
      <w:start w:val="2"/>
      <w:numFmt w:val="lowerLetter"/>
      <w:lvlText w:val="%1."/>
      <w:lvlJc w:val="left"/>
      <w:pPr>
        <w:tabs>
          <w:tab w:val="num" w:pos="1440"/>
        </w:tabs>
        <w:ind w:left="1440" w:hanging="720"/>
      </w:pPr>
      <w:rPr>
        <w:rFonts w:hint="default"/>
      </w:rPr>
    </w:lvl>
    <w:lvl w:ilvl="1" w:tplc="C3983F2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700"/>
        </w:tabs>
        <w:ind w:left="2700" w:hanging="360"/>
      </w:pPr>
      <w:rPr>
        <w:rFonts w:hint="default"/>
      </w:rPr>
    </w:lvl>
    <w:lvl w:ilvl="3" w:tplc="DCF2BB5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73139C"/>
    <w:multiLevelType w:val="hybridMultilevel"/>
    <w:tmpl w:val="D6224F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60FEE"/>
    <w:multiLevelType w:val="hybridMultilevel"/>
    <w:tmpl w:val="E6A84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5"/>
  </w:num>
  <w:num w:numId="5">
    <w:abstractNumId w:val="8"/>
  </w:num>
  <w:num w:numId="6">
    <w:abstractNumId w:val="6"/>
  </w:num>
  <w:num w:numId="7">
    <w:abstractNumId w:val="3"/>
  </w:num>
  <w:num w:numId="8">
    <w:abstractNumId w:val="1"/>
  </w:num>
  <w:num w:numId="9">
    <w:abstractNumId w:val="10"/>
  </w:num>
  <w:num w:numId="10">
    <w:abstractNumId w:val="9"/>
  </w:num>
  <w:num w:numId="1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9F"/>
    <w:rsid w:val="00000CEA"/>
    <w:rsid w:val="000132E3"/>
    <w:rsid w:val="0001749A"/>
    <w:rsid w:val="00025D13"/>
    <w:rsid w:val="0002778B"/>
    <w:rsid w:val="00027B39"/>
    <w:rsid w:val="00043A93"/>
    <w:rsid w:val="00043CFF"/>
    <w:rsid w:val="00046B36"/>
    <w:rsid w:val="000559E7"/>
    <w:rsid w:val="000605B2"/>
    <w:rsid w:val="00067EFE"/>
    <w:rsid w:val="00075C40"/>
    <w:rsid w:val="00087E81"/>
    <w:rsid w:val="00087FA1"/>
    <w:rsid w:val="0009380E"/>
    <w:rsid w:val="000A5756"/>
    <w:rsid w:val="000B43EC"/>
    <w:rsid w:val="000B4BA2"/>
    <w:rsid w:val="000C013D"/>
    <w:rsid w:val="000C0763"/>
    <w:rsid w:val="000E2F5C"/>
    <w:rsid w:val="000E6B9F"/>
    <w:rsid w:val="000E71FE"/>
    <w:rsid w:val="000F492F"/>
    <w:rsid w:val="00115CD8"/>
    <w:rsid w:val="001166DB"/>
    <w:rsid w:val="00117B50"/>
    <w:rsid w:val="00120E43"/>
    <w:rsid w:val="001224A2"/>
    <w:rsid w:val="00141234"/>
    <w:rsid w:val="001414CF"/>
    <w:rsid w:val="00155E18"/>
    <w:rsid w:val="0016002B"/>
    <w:rsid w:val="001626BD"/>
    <w:rsid w:val="001837DA"/>
    <w:rsid w:val="0019121A"/>
    <w:rsid w:val="00197094"/>
    <w:rsid w:val="001B4620"/>
    <w:rsid w:val="001C6BEE"/>
    <w:rsid w:val="001D7317"/>
    <w:rsid w:val="001E3036"/>
    <w:rsid w:val="001E35CE"/>
    <w:rsid w:val="001E416C"/>
    <w:rsid w:val="001F3957"/>
    <w:rsid w:val="001F516F"/>
    <w:rsid w:val="00224749"/>
    <w:rsid w:val="00233102"/>
    <w:rsid w:val="0023466F"/>
    <w:rsid w:val="00240071"/>
    <w:rsid w:val="00243386"/>
    <w:rsid w:val="002459F8"/>
    <w:rsid w:val="00252E89"/>
    <w:rsid w:val="00256732"/>
    <w:rsid w:val="0026386E"/>
    <w:rsid w:val="0026444A"/>
    <w:rsid w:val="00267D1E"/>
    <w:rsid w:val="0028003B"/>
    <w:rsid w:val="0028007E"/>
    <w:rsid w:val="002858DD"/>
    <w:rsid w:val="002A2E15"/>
    <w:rsid w:val="002A5033"/>
    <w:rsid w:val="002A7C83"/>
    <w:rsid w:val="002B5A5C"/>
    <w:rsid w:val="002C6183"/>
    <w:rsid w:val="002D7B8B"/>
    <w:rsid w:val="002E10EF"/>
    <w:rsid w:val="002E3FD0"/>
    <w:rsid w:val="002F46F2"/>
    <w:rsid w:val="00302784"/>
    <w:rsid w:val="00303A21"/>
    <w:rsid w:val="003160DB"/>
    <w:rsid w:val="00317510"/>
    <w:rsid w:val="0032444F"/>
    <w:rsid w:val="00327DEE"/>
    <w:rsid w:val="00343B73"/>
    <w:rsid w:val="003533FE"/>
    <w:rsid w:val="0035556C"/>
    <w:rsid w:val="0036214A"/>
    <w:rsid w:val="00367F35"/>
    <w:rsid w:val="00370B65"/>
    <w:rsid w:val="00376930"/>
    <w:rsid w:val="0038748D"/>
    <w:rsid w:val="003920E7"/>
    <w:rsid w:val="00392B0F"/>
    <w:rsid w:val="003A0BDE"/>
    <w:rsid w:val="003A5944"/>
    <w:rsid w:val="003B2E76"/>
    <w:rsid w:val="003B46FF"/>
    <w:rsid w:val="003B4E01"/>
    <w:rsid w:val="003B583F"/>
    <w:rsid w:val="003C3628"/>
    <w:rsid w:val="003C45B9"/>
    <w:rsid w:val="003C5C2C"/>
    <w:rsid w:val="003D2D9B"/>
    <w:rsid w:val="003E2E76"/>
    <w:rsid w:val="003E4960"/>
    <w:rsid w:val="003F3C43"/>
    <w:rsid w:val="003F68E9"/>
    <w:rsid w:val="004050AC"/>
    <w:rsid w:val="00415513"/>
    <w:rsid w:val="00422AD3"/>
    <w:rsid w:val="0042729F"/>
    <w:rsid w:val="0043119F"/>
    <w:rsid w:val="00435807"/>
    <w:rsid w:val="00436521"/>
    <w:rsid w:val="00436DD8"/>
    <w:rsid w:val="00447947"/>
    <w:rsid w:val="004510BD"/>
    <w:rsid w:val="00454A33"/>
    <w:rsid w:val="004630C7"/>
    <w:rsid w:val="00474FAD"/>
    <w:rsid w:val="0048149D"/>
    <w:rsid w:val="004968E3"/>
    <w:rsid w:val="004A3C0B"/>
    <w:rsid w:val="004A444B"/>
    <w:rsid w:val="004B7C30"/>
    <w:rsid w:val="004B7C65"/>
    <w:rsid w:val="004C6736"/>
    <w:rsid w:val="004D463A"/>
    <w:rsid w:val="004D4A20"/>
    <w:rsid w:val="004D77B7"/>
    <w:rsid w:val="004E7811"/>
    <w:rsid w:val="004E7EBD"/>
    <w:rsid w:val="005138A0"/>
    <w:rsid w:val="00514C34"/>
    <w:rsid w:val="0052164B"/>
    <w:rsid w:val="00523840"/>
    <w:rsid w:val="00564FC5"/>
    <w:rsid w:val="00565E94"/>
    <w:rsid w:val="005721BC"/>
    <w:rsid w:val="00572FC0"/>
    <w:rsid w:val="00573154"/>
    <w:rsid w:val="00573B3E"/>
    <w:rsid w:val="0057477C"/>
    <w:rsid w:val="00577B74"/>
    <w:rsid w:val="00582E24"/>
    <w:rsid w:val="00585465"/>
    <w:rsid w:val="0058705B"/>
    <w:rsid w:val="00593DBA"/>
    <w:rsid w:val="005A4846"/>
    <w:rsid w:val="005B4E25"/>
    <w:rsid w:val="005C7C2C"/>
    <w:rsid w:val="005D3DF1"/>
    <w:rsid w:val="005D7B29"/>
    <w:rsid w:val="005E3226"/>
    <w:rsid w:val="005E7A8C"/>
    <w:rsid w:val="005F228F"/>
    <w:rsid w:val="005F5C62"/>
    <w:rsid w:val="005F5DF5"/>
    <w:rsid w:val="006023BE"/>
    <w:rsid w:val="006139BA"/>
    <w:rsid w:val="0062156D"/>
    <w:rsid w:val="006300B1"/>
    <w:rsid w:val="00630868"/>
    <w:rsid w:val="00656676"/>
    <w:rsid w:val="00661214"/>
    <w:rsid w:val="00684EC7"/>
    <w:rsid w:val="00687B14"/>
    <w:rsid w:val="006966DD"/>
    <w:rsid w:val="006A200A"/>
    <w:rsid w:val="006B37EC"/>
    <w:rsid w:val="006B4F36"/>
    <w:rsid w:val="006B65CB"/>
    <w:rsid w:val="006D5E9D"/>
    <w:rsid w:val="006E0CC7"/>
    <w:rsid w:val="006E28E0"/>
    <w:rsid w:val="006E7A6A"/>
    <w:rsid w:val="007043F2"/>
    <w:rsid w:val="0070485E"/>
    <w:rsid w:val="007067A4"/>
    <w:rsid w:val="00712A5F"/>
    <w:rsid w:val="007155A8"/>
    <w:rsid w:val="0073283E"/>
    <w:rsid w:val="00733396"/>
    <w:rsid w:val="0073530E"/>
    <w:rsid w:val="007361CD"/>
    <w:rsid w:val="00742AEB"/>
    <w:rsid w:val="00742E34"/>
    <w:rsid w:val="00747965"/>
    <w:rsid w:val="00751A41"/>
    <w:rsid w:val="0075443C"/>
    <w:rsid w:val="00781748"/>
    <w:rsid w:val="007876B4"/>
    <w:rsid w:val="00787D96"/>
    <w:rsid w:val="007979D5"/>
    <w:rsid w:val="007A3F3F"/>
    <w:rsid w:val="007A50D7"/>
    <w:rsid w:val="007A6B78"/>
    <w:rsid w:val="007A780A"/>
    <w:rsid w:val="007B24A9"/>
    <w:rsid w:val="007B43B1"/>
    <w:rsid w:val="007F18C6"/>
    <w:rsid w:val="008021AE"/>
    <w:rsid w:val="00803979"/>
    <w:rsid w:val="008075E2"/>
    <w:rsid w:val="00820783"/>
    <w:rsid w:val="00824BBF"/>
    <w:rsid w:val="00840636"/>
    <w:rsid w:val="00840C61"/>
    <w:rsid w:val="00850725"/>
    <w:rsid w:val="008575A3"/>
    <w:rsid w:val="00866F7D"/>
    <w:rsid w:val="00870B69"/>
    <w:rsid w:val="0087420E"/>
    <w:rsid w:val="00880D04"/>
    <w:rsid w:val="00880DFB"/>
    <w:rsid w:val="00883078"/>
    <w:rsid w:val="00883BCC"/>
    <w:rsid w:val="00887A71"/>
    <w:rsid w:val="008913DA"/>
    <w:rsid w:val="008A33E1"/>
    <w:rsid w:val="008B2E7D"/>
    <w:rsid w:val="008B77AD"/>
    <w:rsid w:val="008D1672"/>
    <w:rsid w:val="008D428B"/>
    <w:rsid w:val="008D49F7"/>
    <w:rsid w:val="008D60D8"/>
    <w:rsid w:val="008E3D43"/>
    <w:rsid w:val="008E4B47"/>
    <w:rsid w:val="009006DD"/>
    <w:rsid w:val="00900B80"/>
    <w:rsid w:val="009051A8"/>
    <w:rsid w:val="00913FEC"/>
    <w:rsid w:val="00915086"/>
    <w:rsid w:val="00916104"/>
    <w:rsid w:val="00927551"/>
    <w:rsid w:val="00946B0F"/>
    <w:rsid w:val="00950E20"/>
    <w:rsid w:val="00952F46"/>
    <w:rsid w:val="009573EB"/>
    <w:rsid w:val="009613EB"/>
    <w:rsid w:val="00972DC5"/>
    <w:rsid w:val="009764FB"/>
    <w:rsid w:val="009822D5"/>
    <w:rsid w:val="009843E4"/>
    <w:rsid w:val="00984F63"/>
    <w:rsid w:val="0098545B"/>
    <w:rsid w:val="00987FD1"/>
    <w:rsid w:val="00990707"/>
    <w:rsid w:val="009A2F89"/>
    <w:rsid w:val="009A514D"/>
    <w:rsid w:val="009C0582"/>
    <w:rsid w:val="009C2F33"/>
    <w:rsid w:val="009C5B5F"/>
    <w:rsid w:val="009D51CF"/>
    <w:rsid w:val="009E2BD5"/>
    <w:rsid w:val="009E37A1"/>
    <w:rsid w:val="009F0073"/>
    <w:rsid w:val="00A008C2"/>
    <w:rsid w:val="00A03306"/>
    <w:rsid w:val="00A03545"/>
    <w:rsid w:val="00A04EDC"/>
    <w:rsid w:val="00A06995"/>
    <w:rsid w:val="00A07AFC"/>
    <w:rsid w:val="00A128A2"/>
    <w:rsid w:val="00A167C8"/>
    <w:rsid w:val="00A17211"/>
    <w:rsid w:val="00A24808"/>
    <w:rsid w:val="00A56AE1"/>
    <w:rsid w:val="00A61055"/>
    <w:rsid w:val="00A708E1"/>
    <w:rsid w:val="00A72EF1"/>
    <w:rsid w:val="00A77DB4"/>
    <w:rsid w:val="00A80C6F"/>
    <w:rsid w:val="00A8527F"/>
    <w:rsid w:val="00A93726"/>
    <w:rsid w:val="00A94FE3"/>
    <w:rsid w:val="00AA7AE0"/>
    <w:rsid w:val="00AD5AA9"/>
    <w:rsid w:val="00AE40D4"/>
    <w:rsid w:val="00AF1187"/>
    <w:rsid w:val="00AF2E0A"/>
    <w:rsid w:val="00AF64CD"/>
    <w:rsid w:val="00AF71E9"/>
    <w:rsid w:val="00B03C4A"/>
    <w:rsid w:val="00B061FB"/>
    <w:rsid w:val="00B1006C"/>
    <w:rsid w:val="00B1387F"/>
    <w:rsid w:val="00B30940"/>
    <w:rsid w:val="00B4028D"/>
    <w:rsid w:val="00B529F5"/>
    <w:rsid w:val="00B55CD1"/>
    <w:rsid w:val="00B832EF"/>
    <w:rsid w:val="00B84F9A"/>
    <w:rsid w:val="00B9121D"/>
    <w:rsid w:val="00B9715F"/>
    <w:rsid w:val="00BA2028"/>
    <w:rsid w:val="00BB3B3B"/>
    <w:rsid w:val="00BD2DB0"/>
    <w:rsid w:val="00BD456A"/>
    <w:rsid w:val="00BE1657"/>
    <w:rsid w:val="00BF19B0"/>
    <w:rsid w:val="00C0117C"/>
    <w:rsid w:val="00C066D2"/>
    <w:rsid w:val="00C10816"/>
    <w:rsid w:val="00C1298D"/>
    <w:rsid w:val="00C12B49"/>
    <w:rsid w:val="00C141F5"/>
    <w:rsid w:val="00C16FF8"/>
    <w:rsid w:val="00C17F66"/>
    <w:rsid w:val="00C2234E"/>
    <w:rsid w:val="00C37A5E"/>
    <w:rsid w:val="00C37BE3"/>
    <w:rsid w:val="00C443C6"/>
    <w:rsid w:val="00C463C1"/>
    <w:rsid w:val="00C523DF"/>
    <w:rsid w:val="00C5268E"/>
    <w:rsid w:val="00C55211"/>
    <w:rsid w:val="00C56537"/>
    <w:rsid w:val="00C64F00"/>
    <w:rsid w:val="00C74F8A"/>
    <w:rsid w:val="00C75B66"/>
    <w:rsid w:val="00C773A5"/>
    <w:rsid w:val="00C81855"/>
    <w:rsid w:val="00C821F7"/>
    <w:rsid w:val="00CA3D41"/>
    <w:rsid w:val="00CA59CC"/>
    <w:rsid w:val="00CB1B21"/>
    <w:rsid w:val="00CB3FD8"/>
    <w:rsid w:val="00CC4120"/>
    <w:rsid w:val="00CD3F3A"/>
    <w:rsid w:val="00CE5184"/>
    <w:rsid w:val="00CF60FC"/>
    <w:rsid w:val="00CF7081"/>
    <w:rsid w:val="00CF77BC"/>
    <w:rsid w:val="00D076BC"/>
    <w:rsid w:val="00D13B9E"/>
    <w:rsid w:val="00D15250"/>
    <w:rsid w:val="00D20C54"/>
    <w:rsid w:val="00D2369B"/>
    <w:rsid w:val="00D40760"/>
    <w:rsid w:val="00D40EFA"/>
    <w:rsid w:val="00D414FE"/>
    <w:rsid w:val="00D43432"/>
    <w:rsid w:val="00D441BA"/>
    <w:rsid w:val="00D6208E"/>
    <w:rsid w:val="00D63CF1"/>
    <w:rsid w:val="00D656A3"/>
    <w:rsid w:val="00D67950"/>
    <w:rsid w:val="00D7615C"/>
    <w:rsid w:val="00D84ED7"/>
    <w:rsid w:val="00D85B61"/>
    <w:rsid w:val="00D92433"/>
    <w:rsid w:val="00D95341"/>
    <w:rsid w:val="00D97900"/>
    <w:rsid w:val="00DA092F"/>
    <w:rsid w:val="00DA6C24"/>
    <w:rsid w:val="00DA6EB0"/>
    <w:rsid w:val="00DB35E8"/>
    <w:rsid w:val="00DD1308"/>
    <w:rsid w:val="00DD2D1E"/>
    <w:rsid w:val="00DD2EDF"/>
    <w:rsid w:val="00DD3E89"/>
    <w:rsid w:val="00DD5326"/>
    <w:rsid w:val="00DF2BF8"/>
    <w:rsid w:val="00DF3ACC"/>
    <w:rsid w:val="00E039B6"/>
    <w:rsid w:val="00E04844"/>
    <w:rsid w:val="00E0775D"/>
    <w:rsid w:val="00E1153C"/>
    <w:rsid w:val="00E16D02"/>
    <w:rsid w:val="00E229A8"/>
    <w:rsid w:val="00E25234"/>
    <w:rsid w:val="00E375E5"/>
    <w:rsid w:val="00E5206A"/>
    <w:rsid w:val="00E52940"/>
    <w:rsid w:val="00E54BA4"/>
    <w:rsid w:val="00E6200C"/>
    <w:rsid w:val="00E65888"/>
    <w:rsid w:val="00E73534"/>
    <w:rsid w:val="00E829A6"/>
    <w:rsid w:val="00E87D45"/>
    <w:rsid w:val="00E95D1B"/>
    <w:rsid w:val="00EA1E5B"/>
    <w:rsid w:val="00EB45AA"/>
    <w:rsid w:val="00EB735D"/>
    <w:rsid w:val="00EC10A2"/>
    <w:rsid w:val="00ED0887"/>
    <w:rsid w:val="00ED377A"/>
    <w:rsid w:val="00EE29BB"/>
    <w:rsid w:val="00EE65AE"/>
    <w:rsid w:val="00EE67B8"/>
    <w:rsid w:val="00EF393B"/>
    <w:rsid w:val="00EF4459"/>
    <w:rsid w:val="00EF4B38"/>
    <w:rsid w:val="00F146FD"/>
    <w:rsid w:val="00F14A1A"/>
    <w:rsid w:val="00F162DC"/>
    <w:rsid w:val="00F23413"/>
    <w:rsid w:val="00F34678"/>
    <w:rsid w:val="00F36A0F"/>
    <w:rsid w:val="00F44C3F"/>
    <w:rsid w:val="00F60972"/>
    <w:rsid w:val="00F67F62"/>
    <w:rsid w:val="00F71891"/>
    <w:rsid w:val="00F758BD"/>
    <w:rsid w:val="00F924C8"/>
    <w:rsid w:val="00FA6CD5"/>
    <w:rsid w:val="00FB70B1"/>
    <w:rsid w:val="00FC1DF8"/>
    <w:rsid w:val="00FC25C6"/>
    <w:rsid w:val="00FF1726"/>
    <w:rsid w:val="00FF3BFC"/>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9735786"/>
  <w15:docId w15:val="{DB68E5F8-5D0E-46CC-A482-957F304E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E25"/>
    <w:pPr>
      <w:spacing w:after="120"/>
    </w:pPr>
    <w:rPr>
      <w:rFonts w:cs="Arial"/>
      <w:sz w:val="24"/>
      <w:szCs w:val="24"/>
    </w:rPr>
  </w:style>
  <w:style w:type="paragraph" w:styleId="Heading1">
    <w:name w:val="heading 1"/>
    <w:basedOn w:val="Normal"/>
    <w:next w:val="Normal"/>
    <w:link w:val="Heading1Char"/>
    <w:qFormat/>
    <w:rsid w:val="005B4E25"/>
    <w:pPr>
      <w:keepNext/>
      <w:spacing w:before="240" w:after="60"/>
      <w:outlineLvl w:val="0"/>
    </w:pPr>
    <w:rPr>
      <w:b/>
      <w:bCs/>
      <w:kern w:val="32"/>
      <w:sz w:val="32"/>
      <w:szCs w:val="32"/>
    </w:rPr>
  </w:style>
  <w:style w:type="paragraph" w:styleId="Heading2">
    <w:name w:val="heading 2"/>
    <w:basedOn w:val="Normal"/>
    <w:next w:val="Normal"/>
    <w:link w:val="Heading2Char"/>
    <w:qFormat/>
    <w:rsid w:val="005B4E25"/>
    <w:pPr>
      <w:keepNext/>
      <w:spacing w:after="240"/>
      <w:outlineLvl w:val="1"/>
    </w:pPr>
    <w:rPr>
      <w:sz w:val="28"/>
      <w:szCs w:val="20"/>
    </w:rPr>
  </w:style>
  <w:style w:type="paragraph" w:styleId="Heading3">
    <w:name w:val="heading 3"/>
    <w:basedOn w:val="Normal"/>
    <w:next w:val="Normal"/>
    <w:link w:val="Heading3Char"/>
    <w:qFormat/>
    <w:rsid w:val="005B4E25"/>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B4E25"/>
    <w:rPr>
      <w:rFonts w:ascii="Courier New" w:hAnsi="Courier New"/>
      <w:sz w:val="20"/>
      <w:szCs w:val="20"/>
    </w:rPr>
  </w:style>
  <w:style w:type="paragraph" w:styleId="BalloonText">
    <w:name w:val="Balloon Text"/>
    <w:basedOn w:val="Normal"/>
    <w:semiHidden/>
    <w:rsid w:val="00751A41"/>
    <w:rPr>
      <w:rFonts w:ascii="Tahoma" w:hAnsi="Tahoma" w:cs="Tahoma"/>
      <w:sz w:val="16"/>
      <w:szCs w:val="16"/>
    </w:rPr>
  </w:style>
  <w:style w:type="paragraph" w:styleId="Header">
    <w:name w:val="header"/>
    <w:basedOn w:val="Normal"/>
    <w:link w:val="HeaderChar"/>
    <w:rsid w:val="00C81855"/>
    <w:pPr>
      <w:tabs>
        <w:tab w:val="center" w:pos="4320"/>
        <w:tab w:val="right" w:pos="8640"/>
      </w:tabs>
    </w:pPr>
  </w:style>
  <w:style w:type="paragraph" w:styleId="Footer">
    <w:name w:val="footer"/>
    <w:basedOn w:val="Normal"/>
    <w:rsid w:val="00C81855"/>
    <w:pPr>
      <w:tabs>
        <w:tab w:val="center" w:pos="4320"/>
        <w:tab w:val="right" w:pos="8640"/>
      </w:tabs>
    </w:pPr>
  </w:style>
  <w:style w:type="character" w:customStyle="1" w:styleId="Heading3Char">
    <w:name w:val="Heading 3 Char"/>
    <w:link w:val="Heading3"/>
    <w:rsid w:val="005B4E25"/>
    <w:rPr>
      <w:rFonts w:cs="Arial"/>
      <w:b/>
      <w:bCs/>
      <w:sz w:val="26"/>
      <w:szCs w:val="26"/>
    </w:rPr>
  </w:style>
  <w:style w:type="character" w:styleId="FollowedHyperlink">
    <w:name w:val="FollowedHyperlink"/>
    <w:rsid w:val="00C10816"/>
    <w:rPr>
      <w:color w:val="800080"/>
      <w:u w:val="single"/>
    </w:rPr>
  </w:style>
  <w:style w:type="character" w:customStyle="1" w:styleId="Heading4">
    <w:name w:val="Heading4"/>
    <w:rsid w:val="005B4E25"/>
    <w:rPr>
      <w:rFonts w:ascii="Arial" w:hAnsi="Arial"/>
      <w:b/>
      <w:sz w:val="24"/>
    </w:rPr>
  </w:style>
  <w:style w:type="paragraph" w:styleId="NormalWeb">
    <w:name w:val="Normal (Web)"/>
    <w:basedOn w:val="Normal"/>
    <w:rsid w:val="00565E94"/>
    <w:pPr>
      <w:spacing w:before="100" w:beforeAutospacing="1" w:after="100" w:afterAutospacing="1"/>
    </w:pPr>
  </w:style>
  <w:style w:type="paragraph" w:styleId="BodyText2">
    <w:name w:val="Body Text 2"/>
    <w:basedOn w:val="Normal"/>
    <w:rsid w:val="003C5C2C"/>
    <w:rPr>
      <w:szCs w:val="20"/>
    </w:rPr>
  </w:style>
  <w:style w:type="paragraph" w:styleId="BodyTextIndent">
    <w:name w:val="Body Text Indent"/>
    <w:basedOn w:val="Normal"/>
    <w:link w:val="BodyTextIndentChar"/>
    <w:rsid w:val="001F3957"/>
    <w:pPr>
      <w:ind w:left="360"/>
    </w:pPr>
  </w:style>
  <w:style w:type="paragraph" w:styleId="BodyTextIndent3">
    <w:name w:val="Body Text Indent 3"/>
    <w:basedOn w:val="Normal"/>
    <w:rsid w:val="001F3957"/>
    <w:pPr>
      <w:ind w:left="360"/>
    </w:pPr>
    <w:rPr>
      <w:sz w:val="16"/>
      <w:szCs w:val="16"/>
    </w:rPr>
  </w:style>
  <w:style w:type="paragraph" w:customStyle="1" w:styleId="dead">
    <w:name w:val="dead"/>
    <w:basedOn w:val="Normal"/>
    <w:rsid w:val="001F3957"/>
    <w:pPr>
      <w:tabs>
        <w:tab w:val="left" w:pos="-1440"/>
        <w:tab w:val="left" w:pos="-720"/>
        <w:tab w:val="left" w:pos="4914"/>
        <w:tab w:val="left" w:pos="8568"/>
      </w:tabs>
      <w:suppressAutoHyphens/>
      <w:spacing w:after="60"/>
      <w:ind w:left="547" w:hanging="547"/>
      <w:jc w:val="both"/>
    </w:pPr>
    <w:rPr>
      <w:szCs w:val="20"/>
    </w:rPr>
  </w:style>
  <w:style w:type="character" w:styleId="Hyperlink">
    <w:name w:val="Hyperlink"/>
    <w:rsid w:val="00514C34"/>
    <w:rPr>
      <w:color w:val="0000FF"/>
      <w:u w:val="single"/>
    </w:rPr>
  </w:style>
  <w:style w:type="paragraph" w:customStyle="1" w:styleId="Default">
    <w:name w:val="Default"/>
    <w:rsid w:val="00972DC5"/>
    <w:pPr>
      <w:autoSpaceDE w:val="0"/>
      <w:autoSpaceDN w:val="0"/>
      <w:adjustRightInd w:val="0"/>
    </w:pPr>
    <w:rPr>
      <w:color w:val="000000"/>
      <w:sz w:val="24"/>
      <w:szCs w:val="24"/>
    </w:rPr>
  </w:style>
  <w:style w:type="paragraph" w:styleId="BodyTextIndent2">
    <w:name w:val="Body Text Indent 2"/>
    <w:basedOn w:val="Normal"/>
    <w:rsid w:val="00370B65"/>
    <w:pPr>
      <w:spacing w:line="480" w:lineRule="auto"/>
      <w:ind w:left="360"/>
    </w:pPr>
  </w:style>
  <w:style w:type="paragraph" w:styleId="BodyText3">
    <w:name w:val="Body Text 3"/>
    <w:basedOn w:val="Normal"/>
    <w:rsid w:val="008D1672"/>
    <w:rPr>
      <w:sz w:val="16"/>
      <w:szCs w:val="16"/>
    </w:rPr>
  </w:style>
  <w:style w:type="character" w:styleId="CommentReference">
    <w:name w:val="annotation reference"/>
    <w:basedOn w:val="DefaultParagraphFont"/>
    <w:semiHidden/>
    <w:unhideWhenUsed/>
    <w:rsid w:val="00D40EFA"/>
    <w:rPr>
      <w:sz w:val="16"/>
      <w:szCs w:val="16"/>
    </w:rPr>
  </w:style>
  <w:style w:type="paragraph" w:styleId="CommentText">
    <w:name w:val="annotation text"/>
    <w:basedOn w:val="Normal"/>
    <w:link w:val="CommentTextChar"/>
    <w:semiHidden/>
    <w:unhideWhenUsed/>
    <w:rsid w:val="00D40EFA"/>
    <w:rPr>
      <w:sz w:val="20"/>
      <w:szCs w:val="20"/>
    </w:rPr>
  </w:style>
  <w:style w:type="character" w:customStyle="1" w:styleId="CommentTextChar">
    <w:name w:val="Comment Text Char"/>
    <w:basedOn w:val="DefaultParagraphFont"/>
    <w:link w:val="CommentText"/>
    <w:semiHidden/>
    <w:rsid w:val="00D40EFA"/>
    <w:rPr>
      <w:rFonts w:ascii="Arial" w:hAnsi="Arial"/>
    </w:rPr>
  </w:style>
  <w:style w:type="paragraph" w:styleId="CommentSubject">
    <w:name w:val="annotation subject"/>
    <w:basedOn w:val="CommentText"/>
    <w:next w:val="CommentText"/>
    <w:link w:val="CommentSubjectChar"/>
    <w:semiHidden/>
    <w:unhideWhenUsed/>
    <w:rsid w:val="00D40EFA"/>
    <w:rPr>
      <w:b/>
      <w:bCs/>
    </w:rPr>
  </w:style>
  <w:style w:type="character" w:customStyle="1" w:styleId="CommentSubjectChar">
    <w:name w:val="Comment Subject Char"/>
    <w:basedOn w:val="CommentTextChar"/>
    <w:link w:val="CommentSubject"/>
    <w:semiHidden/>
    <w:rsid w:val="00D40EFA"/>
    <w:rPr>
      <w:rFonts w:ascii="Arial" w:hAnsi="Arial"/>
      <w:b/>
      <w:bCs/>
    </w:rPr>
  </w:style>
  <w:style w:type="paragraph" w:styleId="BodyText">
    <w:name w:val="Body Text"/>
    <w:basedOn w:val="Normal"/>
    <w:link w:val="BodyTextChar"/>
    <w:rsid w:val="00572FC0"/>
  </w:style>
  <w:style w:type="character" w:customStyle="1" w:styleId="BodyTextChar">
    <w:name w:val="Body Text Char"/>
    <w:basedOn w:val="DefaultParagraphFont"/>
    <w:link w:val="BodyText"/>
    <w:rsid w:val="00572FC0"/>
    <w:rPr>
      <w:rFonts w:ascii="Arial" w:hAnsi="Arial"/>
      <w:sz w:val="24"/>
      <w:szCs w:val="24"/>
    </w:rPr>
  </w:style>
  <w:style w:type="paragraph" w:styleId="ListParagraph">
    <w:name w:val="List Paragraph"/>
    <w:basedOn w:val="Normal"/>
    <w:uiPriority w:val="34"/>
    <w:qFormat/>
    <w:rsid w:val="00415513"/>
    <w:pPr>
      <w:ind w:left="720"/>
      <w:contextualSpacing/>
    </w:pPr>
  </w:style>
  <w:style w:type="character" w:styleId="Strong">
    <w:name w:val="Strong"/>
    <w:basedOn w:val="DefaultParagraphFont"/>
    <w:uiPriority w:val="22"/>
    <w:qFormat/>
    <w:rsid w:val="00572FC0"/>
    <w:rPr>
      <w:b/>
      <w:bCs/>
    </w:rPr>
  </w:style>
  <w:style w:type="character" w:customStyle="1" w:styleId="HeaderChar">
    <w:name w:val="Header Char"/>
    <w:basedOn w:val="DefaultParagraphFont"/>
    <w:link w:val="Header"/>
    <w:rsid w:val="007043F2"/>
    <w:rPr>
      <w:rFonts w:ascii="Arial" w:hAnsi="Arial"/>
      <w:sz w:val="24"/>
      <w:szCs w:val="24"/>
    </w:rPr>
  </w:style>
  <w:style w:type="character" w:customStyle="1" w:styleId="BodyTextIndentChar">
    <w:name w:val="Body Text Indent Char"/>
    <w:basedOn w:val="DefaultParagraphFont"/>
    <w:link w:val="BodyTextIndent"/>
    <w:rsid w:val="003B2E76"/>
    <w:rPr>
      <w:rFonts w:ascii="Arial" w:hAnsi="Arial"/>
      <w:sz w:val="24"/>
      <w:szCs w:val="24"/>
    </w:rPr>
  </w:style>
  <w:style w:type="paragraph" w:customStyle="1" w:styleId="SOPTitle">
    <w:name w:val="SOP Title"/>
    <w:basedOn w:val="Normal"/>
    <w:link w:val="SOPTitleChar"/>
    <w:qFormat/>
    <w:rsid w:val="005B4E25"/>
    <w:pPr>
      <w:spacing w:before="40" w:after="40"/>
    </w:pPr>
    <w:rPr>
      <w:b/>
      <w:bCs/>
      <w:sz w:val="32"/>
      <w:szCs w:val="32"/>
    </w:rPr>
  </w:style>
  <w:style w:type="character" w:customStyle="1" w:styleId="SOPTitleChar">
    <w:name w:val="SOP Title Char"/>
    <w:basedOn w:val="DefaultParagraphFont"/>
    <w:link w:val="SOPTitle"/>
    <w:rsid w:val="005B4E25"/>
    <w:rPr>
      <w:rFonts w:cs="Arial"/>
      <w:b/>
      <w:bCs/>
      <w:sz w:val="32"/>
      <w:szCs w:val="32"/>
    </w:rPr>
  </w:style>
  <w:style w:type="paragraph" w:customStyle="1" w:styleId="FormTitle">
    <w:name w:val="Form Title"/>
    <w:basedOn w:val="SOPTitle"/>
    <w:link w:val="FormTitleChar"/>
    <w:qFormat/>
    <w:rsid w:val="005B4E25"/>
    <w:pPr>
      <w:spacing w:after="120"/>
      <w:jc w:val="center"/>
    </w:pPr>
  </w:style>
  <w:style w:type="character" w:customStyle="1" w:styleId="FormTitleChar">
    <w:name w:val="Form Title Char"/>
    <w:basedOn w:val="SOPTitleChar"/>
    <w:link w:val="FormTitle"/>
    <w:rsid w:val="005B4E25"/>
    <w:rPr>
      <w:rFonts w:cs="Arial"/>
      <w:b/>
      <w:bCs/>
      <w:sz w:val="32"/>
      <w:szCs w:val="32"/>
    </w:rPr>
  </w:style>
  <w:style w:type="character" w:customStyle="1" w:styleId="Heading1Char">
    <w:name w:val="Heading 1 Char"/>
    <w:basedOn w:val="DefaultParagraphFont"/>
    <w:link w:val="Heading1"/>
    <w:rsid w:val="005B4E25"/>
    <w:rPr>
      <w:rFonts w:cs="Arial"/>
      <w:b/>
      <w:bCs/>
      <w:kern w:val="32"/>
      <w:sz w:val="32"/>
      <w:szCs w:val="32"/>
    </w:rPr>
  </w:style>
  <w:style w:type="character" w:customStyle="1" w:styleId="Heading2Char">
    <w:name w:val="Heading 2 Char"/>
    <w:basedOn w:val="DefaultParagraphFont"/>
    <w:link w:val="Heading2"/>
    <w:rsid w:val="005B4E25"/>
    <w:rPr>
      <w:rFonts w:cs="Arial"/>
      <w:sz w:val="28"/>
    </w:rPr>
  </w:style>
  <w:style w:type="table" w:styleId="TableGrid">
    <w:name w:val="Table Grid"/>
    <w:basedOn w:val="TableNormal"/>
    <w:rsid w:val="005B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B4E25"/>
    <w:pPr>
      <w:spacing w:before="80"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3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bimsdata@craighospit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83DEB.7310A8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11</Pages>
  <Words>3945</Words>
  <Characters>20975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602cf - Request for National Database Form</vt:lpstr>
    </vt:vector>
  </TitlesOfParts>
  <Company>Craig Hospital</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602cf - Request for National Database Form</dc:title>
  <dc:subject>TBIMS Operations</dc:subject>
  <dc:creator>NDSC</dc:creator>
  <cp:keywords>Data request form</cp:keywords>
  <dc:description>Form for requesting a copy of the national database</dc:description>
  <cp:lastModifiedBy>Eagye, CB</cp:lastModifiedBy>
  <cp:revision>82</cp:revision>
  <cp:lastPrinted>2008-02-08T00:02:00Z</cp:lastPrinted>
  <dcterms:created xsi:type="dcterms:W3CDTF">2022-03-24T20:26:00Z</dcterms:created>
  <dcterms:modified xsi:type="dcterms:W3CDTF">2024-07-31T18:08:00Z</dcterms:modified>
  <cp:contentStatus>Final</cp:contentStatus>
</cp:coreProperties>
</file>